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drawings/drawing3.xml" ContentType="application/vnd.openxmlformats-officedocument.drawingml.chartshapes+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drawings/drawing5.xml" ContentType="application/vnd.openxmlformats-officedocument.drawingml.chartshapes+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8.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6.xml" ContentType="application/vnd.openxmlformats-officedocument.themeOverride+xml"/>
  <Override PartName="/word/drawings/drawing9.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0.xml" ContentType="application/vnd.openxmlformats-officedocument.drawingml.chartshapes+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4662" w14:textId="77777777" w:rsidR="00046060" w:rsidRDefault="00046060">
      <w:pPr>
        <w:pStyle w:val="Sinespaciado"/>
        <w:rPr>
          <w:rFonts w:ascii="Times New Roman" w:eastAsiaTheme="minorEastAsia" w:hAnsi="Times New Roman" w:cs="Times New Roman"/>
          <w:sz w:val="2"/>
          <w:szCs w:val="24"/>
          <w:lang w:val="es-ES_tradnl" w:eastAsia="es-ES"/>
        </w:rPr>
      </w:pPr>
      <w:bookmarkStart w:id="0" w:name="_Hlk49250386"/>
      <w:bookmarkStart w:id="1" w:name="_Toc410402057"/>
      <w:bookmarkStart w:id="2" w:name="_Toc457550818"/>
      <w:bookmarkEnd w:id="0"/>
      <w:r>
        <w:rPr>
          <w:rFonts w:ascii="Times New Roman" w:eastAsiaTheme="minorEastAsia" w:hAnsi="Times New Roman" w:cs="Times New Roman"/>
          <w:sz w:val="2"/>
          <w:szCs w:val="24"/>
          <w:lang w:val="es-ES_tradnl" w:eastAsia="es-ES"/>
        </w:rPr>
        <w:tab/>
      </w:r>
    </w:p>
    <w:sdt>
      <w:sdtPr>
        <w:rPr>
          <w:rFonts w:ascii="Times New Roman" w:eastAsiaTheme="minorEastAsia" w:hAnsi="Times New Roman" w:cs="Times New Roman"/>
          <w:sz w:val="2"/>
          <w:szCs w:val="24"/>
          <w:lang w:val="es-ES_tradnl" w:eastAsia="es-ES"/>
        </w:rPr>
        <w:id w:val="-1951234547"/>
        <w:docPartObj>
          <w:docPartGallery w:val="Cover Pages"/>
          <w:docPartUnique/>
        </w:docPartObj>
      </w:sdtPr>
      <w:sdtEndPr>
        <w:rPr>
          <w:rFonts w:eastAsiaTheme="majorEastAsia"/>
          <w:b/>
          <w:bCs/>
          <w:color w:val="FF0000"/>
          <w:sz w:val="22"/>
          <w:szCs w:val="26"/>
          <w:lang w:val="es-GT"/>
        </w:rPr>
      </w:sdtEndPr>
      <w:sdtContent>
        <w:p w14:paraId="4866D187" w14:textId="77777777" w:rsidR="00DB22E2" w:rsidRPr="00FC4688" w:rsidRDefault="009A1471">
          <w:pPr>
            <w:pStyle w:val="Sinespaciado"/>
            <w:rPr>
              <w:rFonts w:ascii="Times New Roman" w:hAnsi="Times New Roman" w:cs="Times New Roman"/>
              <w:sz w:val="2"/>
            </w:rPr>
          </w:pPr>
          <w:r w:rsidRPr="00FC4688">
            <w:rPr>
              <w:rFonts w:ascii="Times New Roman" w:hAnsi="Times New Roman" w:cs="Times New Roman"/>
              <w:noProof/>
              <w:lang w:eastAsia="es-GT"/>
            </w:rPr>
            <mc:AlternateContent>
              <mc:Choice Requires="wps">
                <w:drawing>
                  <wp:anchor distT="0" distB="0" distL="114300" distR="114300" simplePos="0" relativeHeight="251658242" behindDoc="0" locked="0" layoutInCell="1" allowOverlap="1" wp14:anchorId="49730031" wp14:editId="630EEAF4">
                    <wp:simplePos x="0" y="0"/>
                    <wp:positionH relativeFrom="page">
                      <wp:align>center</wp:align>
                    </wp:positionH>
                    <wp:positionV relativeFrom="margin">
                      <wp:align>top</wp:align>
                    </wp:positionV>
                    <wp:extent cx="5943600" cy="2344615"/>
                    <wp:effectExtent l="0" t="0" r="0" b="0"/>
                    <wp:wrapNone/>
                    <wp:docPr id="62" name="Cuadro de texto 62"/>
                    <wp:cNvGraphicFramePr/>
                    <a:graphic xmlns:a="http://schemas.openxmlformats.org/drawingml/2006/main">
                      <a:graphicData uri="http://schemas.microsoft.com/office/word/2010/wordprocessingShape">
                        <wps:wsp>
                          <wps:cNvSpPr txBox="1"/>
                          <wps:spPr>
                            <a:xfrm>
                              <a:off x="0" y="0"/>
                              <a:ext cx="5943600" cy="2344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caps/>
                                    <w:color w:val="1F497D" w:themeColor="text2"/>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4EA9183D" w14:textId="77777777" w:rsidR="000A5B5B" w:rsidRPr="00445193" w:rsidRDefault="000A5B5B">
                                    <w:pPr>
                                      <w:pStyle w:val="Sinespaciado"/>
                                      <w:rPr>
                                        <w:rFonts w:asciiTheme="majorHAnsi" w:eastAsiaTheme="majorEastAsia" w:hAnsiTheme="majorHAnsi" w:cstheme="majorBidi"/>
                                        <w:caps/>
                                        <w:color w:val="1F497D" w:themeColor="text2"/>
                                        <w:sz w:val="68"/>
                                        <w:szCs w:val="68"/>
                                      </w:rPr>
                                    </w:pPr>
                                    <w:r w:rsidRPr="00BF230D">
                                      <w:rPr>
                                        <w:rFonts w:ascii="Times New Roman" w:eastAsiaTheme="majorEastAsia" w:hAnsi="Times New Roman" w:cs="Times New Roman"/>
                                        <w:caps/>
                                        <w:color w:val="1F497D" w:themeColor="text2"/>
                                        <w:sz w:val="64"/>
                                        <w:szCs w:val="64"/>
                                      </w:rPr>
                                      <w:t>Informe de las Finanz</w:t>
                                    </w:r>
                                    <w:r>
                                      <w:rPr>
                                        <w:rFonts w:ascii="Times New Roman" w:eastAsiaTheme="majorEastAsia" w:hAnsi="Times New Roman" w:cs="Times New Roman"/>
                                        <w:caps/>
                                        <w:color w:val="1F497D" w:themeColor="text2"/>
                                        <w:sz w:val="64"/>
                                        <w:szCs w:val="64"/>
                                      </w:rPr>
                                      <w:t>A</w:t>
                                    </w:r>
                                    <w:r w:rsidRPr="00BF230D">
                                      <w:rPr>
                                        <w:rFonts w:ascii="Times New Roman" w:eastAsiaTheme="majorEastAsia" w:hAnsi="Times New Roman" w:cs="Times New Roman"/>
                                        <w:caps/>
                                        <w:color w:val="1F497D" w:themeColor="text2"/>
                                        <w:sz w:val="64"/>
                                        <w:szCs w:val="64"/>
                                      </w:rPr>
                                      <w:t>s públicas</w:t>
                                    </w:r>
                                  </w:p>
                                </w:sdtContent>
                              </w:sdt>
                              <w:p w14:paraId="4813C609" w14:textId="113B9F4D" w:rsidR="000A5B5B" w:rsidRPr="00BF230D" w:rsidRDefault="00F20224">
                                <w:pPr>
                                  <w:pStyle w:val="Sinespaciado"/>
                                  <w:spacing w:before="120"/>
                                  <w:rPr>
                                    <w:rFonts w:ascii="Times New Roman" w:hAnsi="Times New Roman" w:cs="Times New Roman"/>
                                    <w:b/>
                                    <w:bCs/>
                                    <w:i/>
                                    <w:iCs/>
                                    <w:color w:val="4F81BD" w:themeColor="accent1"/>
                                    <w:sz w:val="36"/>
                                    <w:szCs w:val="36"/>
                                  </w:rPr>
                                </w:pPr>
                                <w:sdt>
                                  <w:sdtPr>
                                    <w:rPr>
                                      <w:rFonts w:ascii="Times New Roman" w:hAnsi="Times New Roman" w:cs="Times New Roman"/>
                                      <w:b/>
                                      <w:bCs/>
                                      <w:i/>
                                      <w:iCs/>
                                      <w:color w:val="4F81BD" w:themeColor="accent1"/>
                                      <w:sz w:val="36"/>
                                      <w:szCs w:val="36"/>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5557C8">
                                      <w:rPr>
                                        <w:rFonts w:ascii="Times New Roman" w:hAnsi="Times New Roman" w:cs="Times New Roman"/>
                                        <w:b/>
                                        <w:bCs/>
                                        <w:i/>
                                        <w:iCs/>
                                        <w:color w:val="4F81BD" w:themeColor="accent1"/>
                                        <w:sz w:val="36"/>
                                        <w:szCs w:val="36"/>
                                      </w:rPr>
                                      <w:t>Primer Trimestre</w:t>
                                    </w:r>
                                  </w:sdtContent>
                                </w:sdt>
                                <w:r w:rsidR="000A5B5B" w:rsidRPr="00BF230D">
                                  <w:rPr>
                                    <w:rFonts w:ascii="Times New Roman" w:hAnsi="Times New Roman" w:cs="Times New Roman"/>
                                    <w:b/>
                                    <w:bCs/>
                                    <w:i/>
                                    <w:iCs/>
                                    <w:color w:val="4F81BD" w:themeColor="accent1"/>
                                    <w:sz w:val="36"/>
                                    <w:szCs w:val="36"/>
                                  </w:rPr>
                                  <w:t xml:space="preserve"> 202</w:t>
                                </w:r>
                                <w:r w:rsidR="005557C8">
                                  <w:rPr>
                                    <w:rFonts w:ascii="Times New Roman" w:hAnsi="Times New Roman" w:cs="Times New Roman"/>
                                    <w:b/>
                                    <w:bCs/>
                                    <w:i/>
                                    <w:iCs/>
                                    <w:color w:val="4F81BD" w:themeColor="accent1"/>
                                    <w:sz w:val="36"/>
                                    <w:szCs w:val="36"/>
                                  </w:rPr>
                                  <w:t>3</w:t>
                                </w:r>
                                <w:r w:rsidR="000A5B5B" w:rsidRPr="00BF230D">
                                  <w:rPr>
                                    <w:rFonts w:ascii="Times New Roman" w:hAnsi="Times New Roman" w:cs="Times New Roman"/>
                                    <w:b/>
                                    <w:bCs/>
                                    <w:i/>
                                    <w:iCs/>
                                    <w:lang w:val="es-ES"/>
                                  </w:rPr>
                                  <w:t xml:space="preserve"> </w:t>
                                </w:r>
                              </w:p>
                              <w:p w14:paraId="39A113FF" w14:textId="77777777" w:rsidR="000A5B5B" w:rsidRDefault="000A5B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49730031" id="_x0000_t202" coordsize="21600,21600" o:spt="202" path="m,l,21600r21600,l21600,xe">
                    <v:stroke joinstyle="miter"/>
                    <v:path gradientshapeok="t" o:connecttype="rect"/>
                  </v:shapetype>
                  <v:shape id="Cuadro de texto 62" o:spid="_x0000_s1026" type="#_x0000_t202" style="position:absolute;margin-left:0;margin-top:0;width:468pt;height:184.6pt;z-index:251658242;visibility:visible;mso-wrap-style:square;mso-width-percent:765;mso-height-percent:0;mso-wrap-distance-left:9pt;mso-wrap-distance-top:0;mso-wrap-distance-right:9pt;mso-wrap-distance-bottom:0;mso-position-horizontal:center;mso-position-horizontal-relative:page;mso-position-vertical:top;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" filled="f" stroked="f" strokeweight=".5pt">
                    <v:textbox>
                      <w:txbxContent>
                        <w:sdt>
                          <w:sdtPr>
                            <w:rPr>
                              <w:rFonts w:ascii="Times New Roman" w:eastAsiaTheme="majorEastAsia" w:hAnsi="Times New Roman" w:cs="Times New Roman"/>
                              <w:caps/>
                              <w:color w:val="1F497D" w:themeColor="text2"/>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4EA9183D" w14:textId="77777777" w:rsidR="000A5B5B" w:rsidRPr="00445193" w:rsidRDefault="000A5B5B">
                              <w:pPr>
                                <w:pStyle w:val="Sinespaciado"/>
                                <w:rPr>
                                  <w:rFonts w:asciiTheme="majorHAnsi" w:eastAsiaTheme="majorEastAsia" w:hAnsiTheme="majorHAnsi" w:cstheme="majorBidi"/>
                                  <w:caps/>
                                  <w:color w:val="1F497D" w:themeColor="text2"/>
                                  <w:sz w:val="68"/>
                                  <w:szCs w:val="68"/>
                                </w:rPr>
                              </w:pPr>
                              <w:r w:rsidRPr="00BF230D">
                                <w:rPr>
                                  <w:rFonts w:ascii="Times New Roman" w:eastAsiaTheme="majorEastAsia" w:hAnsi="Times New Roman" w:cs="Times New Roman"/>
                                  <w:caps/>
                                  <w:color w:val="1F497D" w:themeColor="text2"/>
                                  <w:sz w:val="64"/>
                                  <w:szCs w:val="64"/>
                                </w:rPr>
                                <w:t>Informe de las Finanz</w:t>
                              </w:r>
                              <w:r>
                                <w:rPr>
                                  <w:rFonts w:ascii="Times New Roman" w:eastAsiaTheme="majorEastAsia" w:hAnsi="Times New Roman" w:cs="Times New Roman"/>
                                  <w:caps/>
                                  <w:color w:val="1F497D" w:themeColor="text2"/>
                                  <w:sz w:val="64"/>
                                  <w:szCs w:val="64"/>
                                </w:rPr>
                                <w:t>A</w:t>
                              </w:r>
                              <w:r w:rsidRPr="00BF230D">
                                <w:rPr>
                                  <w:rFonts w:ascii="Times New Roman" w:eastAsiaTheme="majorEastAsia" w:hAnsi="Times New Roman" w:cs="Times New Roman"/>
                                  <w:caps/>
                                  <w:color w:val="1F497D" w:themeColor="text2"/>
                                  <w:sz w:val="64"/>
                                  <w:szCs w:val="64"/>
                                </w:rPr>
                                <w:t>s públicas</w:t>
                              </w:r>
                            </w:p>
                          </w:sdtContent>
                        </w:sdt>
                        <w:p w14:paraId="4813C609" w14:textId="113B9F4D" w:rsidR="000A5B5B" w:rsidRPr="00BF230D" w:rsidRDefault="00F20224">
                          <w:pPr>
                            <w:pStyle w:val="Sinespaciado"/>
                            <w:spacing w:before="120"/>
                            <w:rPr>
                              <w:rFonts w:ascii="Times New Roman" w:hAnsi="Times New Roman" w:cs="Times New Roman"/>
                              <w:b/>
                              <w:bCs/>
                              <w:i/>
                              <w:iCs/>
                              <w:color w:val="4F81BD" w:themeColor="accent1"/>
                              <w:sz w:val="36"/>
                              <w:szCs w:val="36"/>
                            </w:rPr>
                          </w:pPr>
                          <w:sdt>
                            <w:sdtPr>
                              <w:rPr>
                                <w:rFonts w:ascii="Times New Roman" w:hAnsi="Times New Roman" w:cs="Times New Roman"/>
                                <w:b/>
                                <w:bCs/>
                                <w:i/>
                                <w:iCs/>
                                <w:color w:val="4F81BD" w:themeColor="accent1"/>
                                <w:sz w:val="36"/>
                                <w:szCs w:val="36"/>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5557C8">
                                <w:rPr>
                                  <w:rFonts w:ascii="Times New Roman" w:hAnsi="Times New Roman" w:cs="Times New Roman"/>
                                  <w:b/>
                                  <w:bCs/>
                                  <w:i/>
                                  <w:iCs/>
                                  <w:color w:val="4F81BD" w:themeColor="accent1"/>
                                  <w:sz w:val="36"/>
                                  <w:szCs w:val="36"/>
                                </w:rPr>
                                <w:t>Primer Trimestre</w:t>
                              </w:r>
                            </w:sdtContent>
                          </w:sdt>
                          <w:r w:rsidR="000A5B5B" w:rsidRPr="00BF230D">
                            <w:rPr>
                              <w:rFonts w:ascii="Times New Roman" w:hAnsi="Times New Roman" w:cs="Times New Roman"/>
                              <w:b/>
                              <w:bCs/>
                              <w:i/>
                              <w:iCs/>
                              <w:color w:val="4F81BD" w:themeColor="accent1"/>
                              <w:sz w:val="36"/>
                              <w:szCs w:val="36"/>
                            </w:rPr>
                            <w:t xml:space="preserve"> 202</w:t>
                          </w:r>
                          <w:r w:rsidR="005557C8">
                            <w:rPr>
                              <w:rFonts w:ascii="Times New Roman" w:hAnsi="Times New Roman" w:cs="Times New Roman"/>
                              <w:b/>
                              <w:bCs/>
                              <w:i/>
                              <w:iCs/>
                              <w:color w:val="4F81BD" w:themeColor="accent1"/>
                              <w:sz w:val="36"/>
                              <w:szCs w:val="36"/>
                            </w:rPr>
                            <w:t>3</w:t>
                          </w:r>
                          <w:r w:rsidR="000A5B5B" w:rsidRPr="00BF230D">
                            <w:rPr>
                              <w:rFonts w:ascii="Times New Roman" w:hAnsi="Times New Roman" w:cs="Times New Roman"/>
                              <w:b/>
                              <w:bCs/>
                              <w:i/>
                              <w:iCs/>
                              <w:lang w:val="es-ES"/>
                            </w:rPr>
                            <w:t xml:space="preserve"> </w:t>
                          </w:r>
                        </w:p>
                        <w:p w14:paraId="39A113FF" w14:textId="77777777" w:rsidR="000A5B5B" w:rsidRDefault="000A5B5B"/>
                      </w:txbxContent>
                    </v:textbox>
                    <w10:wrap anchorx="page" anchory="margin"/>
                  </v:shape>
                </w:pict>
              </mc:Fallback>
            </mc:AlternateContent>
          </w:r>
        </w:p>
        <w:p w14:paraId="7388F779" w14:textId="77777777" w:rsidR="00DB22E2" w:rsidRPr="00FC4688" w:rsidRDefault="00DB22E2" w:rsidP="00CD34D6">
          <w:pPr>
            <w:rPr>
              <w:rFonts w:cs="Times New Roman"/>
            </w:rPr>
          </w:pPr>
          <w:r w:rsidRPr="00FC4688">
            <w:rPr>
              <w:rFonts w:cs="Times New Roman"/>
              <w:noProof/>
              <w:color w:val="4F81BD" w:themeColor="accent1"/>
              <w:sz w:val="36"/>
              <w:szCs w:val="36"/>
              <w:lang w:eastAsia="es-GT"/>
            </w:rPr>
            <mc:AlternateContent>
              <mc:Choice Requires="wpg">
                <w:drawing>
                  <wp:anchor distT="0" distB="0" distL="114300" distR="114300" simplePos="0" relativeHeight="251676676" behindDoc="1" locked="0" layoutInCell="1" allowOverlap="1" wp14:anchorId="05D5122E" wp14:editId="065F7D2F">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DB4593D" id="Grupo 2" o:spid="_x0000_s1026" style="position:absolute;margin-left:0;margin-top:0;width:432.65pt;height:448.55pt;z-index:-251639804;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">
                    <o:lock v:ext="edit" aspectratio="t"/>
                    <v:shape id="Forma libre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Pr="00FC4688">
            <w:rPr>
              <w:rFonts w:cs="Times New Roman"/>
              <w:noProof/>
              <w:lang w:eastAsia="es-GT"/>
            </w:rPr>
            <mc:AlternateContent>
              <mc:Choice Requires="wps">
                <w:drawing>
                  <wp:anchor distT="0" distB="0" distL="114300" distR="114300" simplePos="0" relativeHeight="251658240" behindDoc="0" locked="0" layoutInCell="1" allowOverlap="1" wp14:anchorId="2C570617" wp14:editId="7C267477">
                    <wp:simplePos x="0" y="0"/>
                    <wp:positionH relativeFrom="page">
                      <wp:align>center</wp:align>
                    </wp:positionH>
                    <wp:positionV relativeFrom="margin">
                      <wp:align>bottom</wp:align>
                    </wp:positionV>
                    <wp:extent cx="5943600" cy="374904"/>
                    <wp:effectExtent l="0" t="0" r="0" b="2540"/>
                    <wp:wrapNone/>
                    <wp:docPr id="69" name="Cuadro de texto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520B9" w14:textId="77777777" w:rsidR="000A5B5B" w:rsidRPr="00BF230D" w:rsidRDefault="00F20224">
                                <w:pPr>
                                  <w:pStyle w:val="Sinespaciado"/>
                                  <w:jc w:val="right"/>
                                  <w:rPr>
                                    <w:rFonts w:ascii="Times New Roman" w:hAnsi="Times New Roman" w:cs="Times New Roman"/>
                                    <w:color w:val="4F81BD" w:themeColor="accent1"/>
                                    <w:sz w:val="36"/>
                                    <w:szCs w:val="36"/>
                                  </w:rPr>
                                </w:pPr>
                                <w:sdt>
                                  <w:sdtPr>
                                    <w:rPr>
                                      <w:rFonts w:ascii="Times New Roman" w:hAnsi="Times New Roman" w:cs="Times New Roman"/>
                                      <w:color w:val="4F81BD" w:themeColor="accent1"/>
                                      <w:sz w:val="36"/>
                                      <w:szCs w:val="36"/>
                                    </w:rPr>
                                    <w:alias w:val="Escolar"/>
                                    <w:tag w:val="Escolar"/>
                                    <w:id w:val="1850680582"/>
                                    <w:dataBinding w:prefixMappings="xmlns:ns0='http://schemas.openxmlformats.org/officeDocument/2006/extended-properties' " w:xpath="/ns0:Properties[1]/ns0:Company[1]" w:storeItemID="{6668398D-A668-4E3E-A5EB-62B293D839F1}"/>
                                    <w:text/>
                                  </w:sdtPr>
                                  <w:sdtEndPr/>
                                  <w:sdtContent>
                                    <w:r w:rsidR="000A5B5B" w:rsidRPr="00BF230D">
                                      <w:rPr>
                                        <w:rFonts w:ascii="Times New Roman" w:hAnsi="Times New Roman" w:cs="Times New Roman"/>
                                        <w:color w:val="4F81BD" w:themeColor="accent1"/>
                                        <w:sz w:val="36"/>
                                        <w:szCs w:val="36"/>
                                      </w:rPr>
                                      <w:t>Dirección de Análisis y Política Fiscal</w:t>
                                    </w:r>
                                  </w:sdtContent>
                                </w:sdt>
                              </w:p>
                              <w:sdt>
                                <w:sdtPr>
                                  <w:rPr>
                                    <w:rFonts w:ascii="Times New Roman" w:hAnsi="Times New Roman" w:cs="Times New Roman"/>
                                    <w:color w:val="4F81BD" w:themeColor="accent1"/>
                                    <w:sz w:val="36"/>
                                    <w:szCs w:val="36"/>
                                  </w:rPr>
                                  <w:alias w:val="Curso"/>
                                  <w:tag w:val="Curso"/>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07854316" w14:textId="77777777" w:rsidR="000A5B5B" w:rsidRPr="00BF230D" w:rsidRDefault="000A5B5B">
                                    <w:pPr>
                                      <w:pStyle w:val="Sinespaciado"/>
                                      <w:jc w:val="right"/>
                                      <w:rPr>
                                        <w:rFonts w:ascii="Times New Roman" w:hAnsi="Times New Roman" w:cs="Times New Roman"/>
                                        <w:color w:val="4F81BD" w:themeColor="accent1"/>
                                        <w:sz w:val="36"/>
                                        <w:szCs w:val="36"/>
                                      </w:rPr>
                                    </w:pPr>
                                    <w:r w:rsidRPr="00BF230D">
                                      <w:rPr>
                                        <w:rFonts w:ascii="Times New Roman" w:hAnsi="Times New Roman" w:cs="Times New Roman"/>
                                        <w:color w:val="4F81BD" w:themeColor="accent1"/>
                                        <w:sz w:val="36"/>
                                        <w:szCs w:val="36"/>
                                      </w:rPr>
                                      <w:t>Ministerio de Finanzas Públicas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2C570617" id="Cuadro de texto 69" o:spid="_x0000_s1027" type="#_x0000_t202" style="position:absolute;left:0;text-align:left;margin-left:0;margin-top:0;width:468pt;height:29.5pt;z-index:251658240;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" filled="f" stroked="f" strokeweight=".5pt">
                    <v:textbox style="mso-fit-shape-to-text:t" inset="0,0,0,0">
                      <w:txbxContent>
                        <w:p w14:paraId="4AC520B9" w14:textId="77777777" w:rsidR="000A5B5B" w:rsidRPr="00BF230D" w:rsidRDefault="00F20224">
                          <w:pPr>
                            <w:pStyle w:val="Sinespaciado"/>
                            <w:jc w:val="right"/>
                            <w:rPr>
                              <w:rFonts w:ascii="Times New Roman" w:hAnsi="Times New Roman" w:cs="Times New Roman"/>
                              <w:color w:val="4F81BD" w:themeColor="accent1"/>
                              <w:sz w:val="36"/>
                              <w:szCs w:val="36"/>
                            </w:rPr>
                          </w:pPr>
                          <w:sdt>
                            <w:sdtPr>
                              <w:rPr>
                                <w:rFonts w:ascii="Times New Roman" w:hAnsi="Times New Roman" w:cs="Times New Roman"/>
                                <w:color w:val="4F81BD" w:themeColor="accent1"/>
                                <w:sz w:val="36"/>
                                <w:szCs w:val="36"/>
                              </w:rPr>
                              <w:alias w:val="Escolar"/>
                              <w:tag w:val="Escolar"/>
                              <w:id w:val="1850680582"/>
                              <w:dataBinding w:prefixMappings="xmlns:ns0='http://schemas.openxmlformats.org/officeDocument/2006/extended-properties' " w:xpath="/ns0:Properties[1]/ns0:Company[1]" w:storeItemID="{6668398D-A668-4E3E-A5EB-62B293D839F1}"/>
                              <w:text/>
                            </w:sdtPr>
                            <w:sdtEndPr/>
                            <w:sdtContent>
                              <w:r w:rsidR="000A5B5B" w:rsidRPr="00BF230D">
                                <w:rPr>
                                  <w:rFonts w:ascii="Times New Roman" w:hAnsi="Times New Roman" w:cs="Times New Roman"/>
                                  <w:color w:val="4F81BD" w:themeColor="accent1"/>
                                  <w:sz w:val="36"/>
                                  <w:szCs w:val="36"/>
                                </w:rPr>
                                <w:t>Dirección de Análisis y Política Fiscal</w:t>
                              </w:r>
                            </w:sdtContent>
                          </w:sdt>
                        </w:p>
                        <w:sdt>
                          <w:sdtPr>
                            <w:rPr>
                              <w:rFonts w:ascii="Times New Roman" w:hAnsi="Times New Roman" w:cs="Times New Roman"/>
                              <w:color w:val="4F81BD" w:themeColor="accent1"/>
                              <w:sz w:val="36"/>
                              <w:szCs w:val="36"/>
                            </w:rPr>
                            <w:alias w:val="Curso"/>
                            <w:tag w:val="Curso"/>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07854316" w14:textId="77777777" w:rsidR="000A5B5B" w:rsidRPr="00BF230D" w:rsidRDefault="000A5B5B">
                              <w:pPr>
                                <w:pStyle w:val="Sinespaciado"/>
                                <w:jc w:val="right"/>
                                <w:rPr>
                                  <w:rFonts w:ascii="Times New Roman" w:hAnsi="Times New Roman" w:cs="Times New Roman"/>
                                  <w:color w:val="4F81BD" w:themeColor="accent1"/>
                                  <w:sz w:val="36"/>
                                  <w:szCs w:val="36"/>
                                </w:rPr>
                              </w:pPr>
                              <w:r w:rsidRPr="00BF230D">
                                <w:rPr>
                                  <w:rFonts w:ascii="Times New Roman" w:hAnsi="Times New Roman" w:cs="Times New Roman"/>
                                  <w:color w:val="4F81BD" w:themeColor="accent1"/>
                                  <w:sz w:val="36"/>
                                  <w:szCs w:val="36"/>
                                </w:rPr>
                                <w:t>Ministerio de Finanzas Públicas</w:t>
                              </w:r>
                            </w:p>
                          </w:sdtContent>
                        </w:sdt>
                      </w:txbxContent>
                    </v:textbox>
                    <w10:wrap anchorx="page" anchory="margin"/>
                  </v:shape>
                </w:pict>
              </mc:Fallback>
            </mc:AlternateContent>
          </w:r>
        </w:p>
        <w:p w14:paraId="1E6B495C" w14:textId="669C5AFA" w:rsidR="00DB22E2" w:rsidRPr="00FC4688" w:rsidRDefault="00F015E4" w:rsidP="00CD34D6">
          <w:pPr>
            <w:spacing w:after="200" w:line="276" w:lineRule="auto"/>
            <w:rPr>
              <w:rFonts w:eastAsiaTheme="majorEastAsia" w:cs="Times New Roman"/>
              <w:b/>
              <w:bCs/>
              <w:color w:val="FF0000"/>
              <w:szCs w:val="26"/>
            </w:rPr>
          </w:pPr>
          <w:r w:rsidRPr="00F015E4">
            <w:rPr>
              <w:rFonts w:eastAsiaTheme="majorEastAsia" w:cs="Times New Roman"/>
              <w:b/>
              <w:bCs/>
              <w:noProof/>
              <w:color w:val="FF0000"/>
              <w:szCs w:val="26"/>
            </w:rPr>
            <w:drawing>
              <wp:anchor distT="0" distB="0" distL="114300" distR="114300" simplePos="0" relativeHeight="251657215" behindDoc="0" locked="0" layoutInCell="1" allowOverlap="1" wp14:anchorId="0EAB7DE1" wp14:editId="7E6D130B">
                <wp:simplePos x="0" y="0"/>
                <wp:positionH relativeFrom="margin">
                  <wp:align>center</wp:align>
                </wp:positionH>
                <wp:positionV relativeFrom="paragraph">
                  <wp:posOffset>2479260</wp:posOffset>
                </wp:positionV>
                <wp:extent cx="1677670" cy="1845310"/>
                <wp:effectExtent l="0" t="0" r="0" b="2540"/>
                <wp:wrapSquare wrapText="bothSides"/>
                <wp:docPr id="292517484" name="Imagen 292517484" descr="Logotipo, nombre de la empresa&#10;&#10;Descripción generada automáticamente">
                  <a:extLst xmlns:a="http://schemas.openxmlformats.org/drawingml/2006/main">
                    <a:ext uri="{FF2B5EF4-FFF2-40B4-BE49-F238E27FC236}">
                      <a16:creationId xmlns:a16="http://schemas.microsoft.com/office/drawing/2014/main" id="{B2026591-938B-AFE1-1A8B-110537A1EC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517484" name="Imagen 292517484" descr="Logotipo, nombre de la empresa&#10;&#10;Descripción generada automáticamente">
                          <a:extLst>
                            <a:ext uri="{FF2B5EF4-FFF2-40B4-BE49-F238E27FC236}">
                              <a16:creationId xmlns:a16="http://schemas.microsoft.com/office/drawing/2014/main" id="{B2026591-938B-AFE1-1A8B-110537A1EC5F}"/>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6457" t="14032" r="16881" b="12626"/>
                        <a:stretch/>
                      </pic:blipFill>
                      <pic:spPr bwMode="auto">
                        <a:xfrm>
                          <a:off x="0" y="0"/>
                          <a:ext cx="1677670" cy="1845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22E2" w:rsidRPr="00FC4688">
            <w:rPr>
              <w:rFonts w:eastAsiaTheme="majorEastAsia" w:cs="Times New Roman"/>
              <w:b/>
              <w:bCs/>
              <w:color w:val="FF0000"/>
              <w:szCs w:val="26"/>
            </w:rPr>
            <w:br w:type="page"/>
          </w:r>
        </w:p>
      </w:sdtContent>
    </w:sdt>
    <w:sdt>
      <w:sdtPr>
        <w:rPr>
          <w:rFonts w:ascii="Times New Roman" w:eastAsiaTheme="minorEastAsia" w:hAnsi="Times New Roman" w:cs="Times New Roman"/>
          <w:b w:val="0"/>
          <w:bCs w:val="0"/>
          <w:color w:val="FF0000"/>
          <w:sz w:val="24"/>
          <w:szCs w:val="24"/>
          <w:lang w:val="es-ES" w:eastAsia="es-ES"/>
        </w:rPr>
        <w:id w:val="-1412613934"/>
        <w:docPartObj>
          <w:docPartGallery w:val="Table of Contents"/>
          <w:docPartUnique/>
        </w:docPartObj>
      </w:sdtPr>
      <w:sdtEndPr>
        <w:rPr>
          <w:sz w:val="22"/>
        </w:rPr>
      </w:sdtEndPr>
      <w:sdtContent>
        <w:p w14:paraId="14EA01E7" w14:textId="77777777" w:rsidR="0032588B" w:rsidRPr="00FC4688" w:rsidRDefault="0032588B" w:rsidP="000D58D6">
          <w:pPr>
            <w:pStyle w:val="TtuloTDC"/>
            <w:jc w:val="center"/>
            <w:rPr>
              <w:rFonts w:ascii="Times New Roman" w:hAnsi="Times New Roman" w:cs="Times New Roman"/>
              <w:color w:val="auto"/>
              <w:sz w:val="24"/>
              <w:szCs w:val="24"/>
              <w:lang w:val="es-ES"/>
            </w:rPr>
          </w:pPr>
          <w:r w:rsidRPr="00FC4688">
            <w:rPr>
              <w:rFonts w:ascii="Times New Roman" w:hAnsi="Times New Roman" w:cs="Times New Roman"/>
              <w:color w:val="auto"/>
              <w:sz w:val="24"/>
              <w:szCs w:val="24"/>
              <w:lang w:val="es-ES"/>
            </w:rPr>
            <w:t>Contenido</w:t>
          </w:r>
        </w:p>
        <w:p w14:paraId="7057A639" w14:textId="77777777" w:rsidR="00F3006C" w:rsidRPr="00FC4688" w:rsidRDefault="00F3006C" w:rsidP="00CD34D6">
          <w:pPr>
            <w:spacing w:line="276" w:lineRule="auto"/>
            <w:rPr>
              <w:rFonts w:cs="Times New Roman"/>
              <w:color w:val="FF0000"/>
              <w:lang w:val="es-ES" w:eastAsia="es-GT"/>
            </w:rPr>
          </w:pPr>
        </w:p>
        <w:p w14:paraId="0551C6FB" w14:textId="34691A10" w:rsidR="005B5A6B" w:rsidRDefault="0032588B">
          <w:pPr>
            <w:pStyle w:val="TDC1"/>
            <w:rPr>
              <w:rFonts w:asciiTheme="minorHAnsi" w:eastAsiaTheme="minorEastAsia" w:hAnsiTheme="minorHAnsi" w:cstheme="minorBidi"/>
              <w:b w:val="0"/>
              <w:bCs w:val="0"/>
              <w:kern w:val="2"/>
              <w:szCs w:val="22"/>
              <w:lang w:eastAsia="es-GT"/>
              <w14:ligatures w14:val="standardContextual"/>
            </w:rPr>
          </w:pPr>
          <w:r w:rsidRPr="00FC4688">
            <w:rPr>
              <w:color w:val="FF0000"/>
              <w:lang w:val="es-ES_tradnl"/>
            </w:rPr>
            <w:fldChar w:fldCharType="begin"/>
          </w:r>
          <w:r w:rsidRPr="00FC4688">
            <w:rPr>
              <w:color w:val="FF0000"/>
            </w:rPr>
            <w:instrText xml:space="preserve"> TOC \o "1-3" \h \z \u </w:instrText>
          </w:r>
          <w:r w:rsidRPr="00FC4688">
            <w:rPr>
              <w:color w:val="FF0000"/>
              <w:lang w:val="es-ES_tradnl"/>
            </w:rPr>
            <w:fldChar w:fldCharType="separate"/>
          </w:r>
          <w:hyperlink w:anchor="_Toc133576474" w:history="1">
            <w:r w:rsidR="005B5A6B" w:rsidRPr="0077623D">
              <w:rPr>
                <w:rStyle w:val="Hipervnculo"/>
                <w:lang w:val="es-ES_tradnl"/>
              </w:rPr>
              <w:t>Introducción</w:t>
            </w:r>
            <w:r w:rsidR="005B5A6B">
              <w:rPr>
                <w:webHidden/>
              </w:rPr>
              <w:tab/>
            </w:r>
            <w:r w:rsidR="005B5A6B">
              <w:rPr>
                <w:webHidden/>
              </w:rPr>
              <w:fldChar w:fldCharType="begin"/>
            </w:r>
            <w:r w:rsidR="005B5A6B">
              <w:rPr>
                <w:webHidden/>
              </w:rPr>
              <w:instrText xml:space="preserve"> PAGEREF _Toc133576474 \h </w:instrText>
            </w:r>
            <w:r w:rsidR="005B5A6B">
              <w:rPr>
                <w:webHidden/>
              </w:rPr>
            </w:r>
            <w:r w:rsidR="005B5A6B">
              <w:rPr>
                <w:webHidden/>
              </w:rPr>
              <w:fldChar w:fldCharType="separate"/>
            </w:r>
            <w:r w:rsidR="00F20224">
              <w:rPr>
                <w:webHidden/>
              </w:rPr>
              <w:t>2</w:t>
            </w:r>
            <w:r w:rsidR="005B5A6B">
              <w:rPr>
                <w:webHidden/>
              </w:rPr>
              <w:fldChar w:fldCharType="end"/>
            </w:r>
          </w:hyperlink>
        </w:p>
        <w:p w14:paraId="2D4B4F5F" w14:textId="748585B8" w:rsidR="005B5A6B" w:rsidRDefault="00F20224">
          <w:pPr>
            <w:pStyle w:val="TDC1"/>
            <w:rPr>
              <w:rFonts w:asciiTheme="minorHAnsi" w:eastAsiaTheme="minorEastAsia" w:hAnsiTheme="minorHAnsi" w:cstheme="minorBidi"/>
              <w:b w:val="0"/>
              <w:bCs w:val="0"/>
              <w:kern w:val="2"/>
              <w:szCs w:val="22"/>
              <w:lang w:eastAsia="es-GT"/>
              <w14:ligatures w14:val="standardContextual"/>
            </w:rPr>
          </w:pPr>
          <w:hyperlink w:anchor="_Toc133576475" w:history="1">
            <w:r w:rsidR="005B5A6B" w:rsidRPr="0077623D">
              <w:rPr>
                <w:rStyle w:val="Hipervnculo"/>
                <w:lang w:val="es-ES_tradnl"/>
              </w:rPr>
              <w:t>I.</w:t>
            </w:r>
            <w:r w:rsidR="005B5A6B">
              <w:rPr>
                <w:rFonts w:asciiTheme="minorHAnsi" w:eastAsiaTheme="minorEastAsia" w:hAnsiTheme="minorHAnsi" w:cstheme="minorBidi"/>
                <w:b w:val="0"/>
                <w:bCs w:val="0"/>
                <w:kern w:val="2"/>
                <w:szCs w:val="22"/>
                <w:lang w:eastAsia="es-GT"/>
                <w14:ligatures w14:val="standardContextual"/>
              </w:rPr>
              <w:tab/>
            </w:r>
            <w:r w:rsidR="005B5A6B" w:rsidRPr="0077623D">
              <w:rPr>
                <w:rStyle w:val="Hipervnculo"/>
                <w:lang w:val="es-ES_tradnl"/>
              </w:rPr>
              <w:t>Ingresos del Gobierno Central Presupuestario</w:t>
            </w:r>
            <w:r w:rsidR="005B5A6B">
              <w:rPr>
                <w:webHidden/>
              </w:rPr>
              <w:tab/>
            </w:r>
            <w:r w:rsidR="005B5A6B">
              <w:rPr>
                <w:webHidden/>
              </w:rPr>
              <w:fldChar w:fldCharType="begin"/>
            </w:r>
            <w:r w:rsidR="005B5A6B">
              <w:rPr>
                <w:webHidden/>
              </w:rPr>
              <w:instrText xml:space="preserve"> PAGEREF _Toc133576475 \h </w:instrText>
            </w:r>
            <w:r w:rsidR="005B5A6B">
              <w:rPr>
                <w:webHidden/>
              </w:rPr>
            </w:r>
            <w:r w:rsidR="005B5A6B">
              <w:rPr>
                <w:webHidden/>
              </w:rPr>
              <w:fldChar w:fldCharType="separate"/>
            </w:r>
            <w:r>
              <w:rPr>
                <w:webHidden/>
              </w:rPr>
              <w:t>2</w:t>
            </w:r>
            <w:r w:rsidR="005B5A6B">
              <w:rPr>
                <w:webHidden/>
              </w:rPr>
              <w:fldChar w:fldCharType="end"/>
            </w:r>
          </w:hyperlink>
        </w:p>
        <w:p w14:paraId="3D30AE3A" w14:textId="4A764897" w:rsidR="005B5A6B" w:rsidRDefault="00F20224">
          <w:pPr>
            <w:pStyle w:val="TDC2"/>
            <w:rPr>
              <w:rFonts w:asciiTheme="minorHAnsi" w:hAnsiTheme="minorHAnsi"/>
              <w:noProof/>
              <w:kern w:val="2"/>
              <w:szCs w:val="22"/>
              <w:lang w:eastAsia="es-GT"/>
              <w14:ligatures w14:val="standardContextual"/>
            </w:rPr>
          </w:pPr>
          <w:hyperlink w:anchor="_Toc133576476" w:history="1">
            <w:r w:rsidR="005B5A6B" w:rsidRPr="0077623D">
              <w:rPr>
                <w:rStyle w:val="Hipervnculo"/>
                <w:rFonts w:cs="Times New Roman"/>
                <w:noProof/>
              </w:rPr>
              <w:t>1.1</w:t>
            </w:r>
            <w:r w:rsidR="005B5A6B">
              <w:rPr>
                <w:rFonts w:asciiTheme="minorHAnsi" w:hAnsiTheme="minorHAnsi"/>
                <w:noProof/>
                <w:kern w:val="2"/>
                <w:szCs w:val="22"/>
                <w:lang w:eastAsia="es-GT"/>
                <w14:ligatures w14:val="standardContextual"/>
              </w:rPr>
              <w:tab/>
            </w:r>
            <w:r w:rsidR="005B5A6B" w:rsidRPr="0077623D">
              <w:rPr>
                <w:rStyle w:val="Hipervnculo"/>
                <w:rFonts w:cs="Times New Roman"/>
                <w:noProof/>
              </w:rPr>
              <w:t>Inicia el año con un buen dinamismo en los ingresos fiscales</w:t>
            </w:r>
            <w:r w:rsidR="005B5A6B">
              <w:rPr>
                <w:noProof/>
                <w:webHidden/>
              </w:rPr>
              <w:tab/>
            </w:r>
            <w:r w:rsidR="005B5A6B">
              <w:rPr>
                <w:noProof/>
                <w:webHidden/>
              </w:rPr>
              <w:fldChar w:fldCharType="begin"/>
            </w:r>
            <w:r w:rsidR="005B5A6B">
              <w:rPr>
                <w:noProof/>
                <w:webHidden/>
              </w:rPr>
              <w:instrText xml:space="preserve"> PAGEREF _Toc133576476 \h </w:instrText>
            </w:r>
            <w:r w:rsidR="005B5A6B">
              <w:rPr>
                <w:noProof/>
                <w:webHidden/>
              </w:rPr>
            </w:r>
            <w:r w:rsidR="005B5A6B">
              <w:rPr>
                <w:noProof/>
                <w:webHidden/>
              </w:rPr>
              <w:fldChar w:fldCharType="separate"/>
            </w:r>
            <w:r>
              <w:rPr>
                <w:noProof/>
                <w:webHidden/>
              </w:rPr>
              <w:t>2</w:t>
            </w:r>
            <w:r w:rsidR="005B5A6B">
              <w:rPr>
                <w:noProof/>
                <w:webHidden/>
              </w:rPr>
              <w:fldChar w:fldCharType="end"/>
            </w:r>
          </w:hyperlink>
        </w:p>
        <w:p w14:paraId="0F98C230" w14:textId="3E04EEA3" w:rsidR="005B5A6B" w:rsidRDefault="00F20224">
          <w:pPr>
            <w:pStyle w:val="TDC2"/>
            <w:rPr>
              <w:rFonts w:asciiTheme="minorHAnsi" w:hAnsiTheme="minorHAnsi"/>
              <w:noProof/>
              <w:kern w:val="2"/>
              <w:szCs w:val="22"/>
              <w:lang w:eastAsia="es-GT"/>
              <w14:ligatures w14:val="standardContextual"/>
            </w:rPr>
          </w:pPr>
          <w:hyperlink w:anchor="_Toc133576477" w:history="1">
            <w:r w:rsidR="005B5A6B" w:rsidRPr="0077623D">
              <w:rPr>
                <w:rStyle w:val="Hipervnculo"/>
                <w:rFonts w:cs="Times New Roman"/>
                <w:noProof/>
              </w:rPr>
              <w:t>1.2</w:t>
            </w:r>
            <w:r w:rsidR="005B5A6B">
              <w:rPr>
                <w:rFonts w:asciiTheme="minorHAnsi" w:hAnsiTheme="minorHAnsi"/>
                <w:noProof/>
                <w:kern w:val="2"/>
                <w:szCs w:val="22"/>
                <w:lang w:eastAsia="es-GT"/>
                <w14:ligatures w14:val="standardContextual"/>
              </w:rPr>
              <w:tab/>
            </w:r>
            <w:r w:rsidR="005B5A6B" w:rsidRPr="0077623D">
              <w:rPr>
                <w:rStyle w:val="Hipervnculo"/>
                <w:rFonts w:cs="Times New Roman"/>
                <w:noProof/>
              </w:rPr>
              <w:t>La recaudación refleja crecimiento</w:t>
            </w:r>
            <w:r w:rsidR="005B5A6B">
              <w:rPr>
                <w:noProof/>
                <w:webHidden/>
              </w:rPr>
              <w:tab/>
            </w:r>
            <w:r w:rsidR="005B5A6B">
              <w:rPr>
                <w:noProof/>
                <w:webHidden/>
              </w:rPr>
              <w:fldChar w:fldCharType="begin"/>
            </w:r>
            <w:r w:rsidR="005B5A6B">
              <w:rPr>
                <w:noProof/>
                <w:webHidden/>
              </w:rPr>
              <w:instrText xml:space="preserve"> PAGEREF _Toc133576477 \h </w:instrText>
            </w:r>
            <w:r w:rsidR="005B5A6B">
              <w:rPr>
                <w:noProof/>
                <w:webHidden/>
              </w:rPr>
            </w:r>
            <w:r w:rsidR="005B5A6B">
              <w:rPr>
                <w:noProof/>
                <w:webHidden/>
              </w:rPr>
              <w:fldChar w:fldCharType="separate"/>
            </w:r>
            <w:r>
              <w:rPr>
                <w:noProof/>
                <w:webHidden/>
              </w:rPr>
              <w:t>3</w:t>
            </w:r>
            <w:r w:rsidR="005B5A6B">
              <w:rPr>
                <w:noProof/>
                <w:webHidden/>
              </w:rPr>
              <w:fldChar w:fldCharType="end"/>
            </w:r>
          </w:hyperlink>
        </w:p>
        <w:p w14:paraId="725E5A1D" w14:textId="6753F848" w:rsidR="005B5A6B" w:rsidRDefault="00F20224">
          <w:pPr>
            <w:pStyle w:val="TDC1"/>
            <w:rPr>
              <w:rFonts w:asciiTheme="minorHAnsi" w:eastAsiaTheme="minorEastAsia" w:hAnsiTheme="minorHAnsi" w:cstheme="minorBidi"/>
              <w:b w:val="0"/>
              <w:bCs w:val="0"/>
              <w:kern w:val="2"/>
              <w:szCs w:val="22"/>
              <w:lang w:eastAsia="es-GT"/>
              <w14:ligatures w14:val="standardContextual"/>
            </w:rPr>
          </w:pPr>
          <w:hyperlink w:anchor="_Toc133576481" w:history="1">
            <w:r w:rsidR="005B5A6B" w:rsidRPr="0077623D">
              <w:rPr>
                <w:rStyle w:val="Hipervnculo"/>
                <w:lang w:val="es-ES_tradnl"/>
              </w:rPr>
              <w:t>II.</w:t>
            </w:r>
            <w:r w:rsidR="005B5A6B">
              <w:rPr>
                <w:rFonts w:asciiTheme="minorHAnsi" w:eastAsiaTheme="minorEastAsia" w:hAnsiTheme="minorHAnsi" w:cstheme="minorBidi"/>
                <w:b w:val="0"/>
                <w:bCs w:val="0"/>
                <w:kern w:val="2"/>
                <w:szCs w:val="22"/>
                <w:lang w:eastAsia="es-GT"/>
                <w14:ligatures w14:val="standardContextual"/>
              </w:rPr>
              <w:tab/>
            </w:r>
            <w:r w:rsidR="005B5A6B" w:rsidRPr="0077623D">
              <w:rPr>
                <w:rStyle w:val="Hipervnculo"/>
                <w:lang w:val="es-ES_tradnl"/>
              </w:rPr>
              <w:t>Gasto Público del Gobierno Central Presupuestario</w:t>
            </w:r>
            <w:r w:rsidR="005B5A6B">
              <w:rPr>
                <w:webHidden/>
              </w:rPr>
              <w:tab/>
            </w:r>
            <w:r w:rsidR="005B5A6B">
              <w:rPr>
                <w:webHidden/>
              </w:rPr>
              <w:fldChar w:fldCharType="begin"/>
            </w:r>
            <w:r w:rsidR="005B5A6B">
              <w:rPr>
                <w:webHidden/>
              </w:rPr>
              <w:instrText xml:space="preserve"> PAGEREF _Toc133576481 \h </w:instrText>
            </w:r>
            <w:r w:rsidR="005B5A6B">
              <w:rPr>
                <w:webHidden/>
              </w:rPr>
            </w:r>
            <w:r w:rsidR="005B5A6B">
              <w:rPr>
                <w:webHidden/>
              </w:rPr>
              <w:fldChar w:fldCharType="separate"/>
            </w:r>
            <w:r>
              <w:rPr>
                <w:webHidden/>
              </w:rPr>
              <w:t>4</w:t>
            </w:r>
            <w:r w:rsidR="005B5A6B">
              <w:rPr>
                <w:webHidden/>
              </w:rPr>
              <w:fldChar w:fldCharType="end"/>
            </w:r>
          </w:hyperlink>
        </w:p>
        <w:p w14:paraId="28B410F5" w14:textId="204DE5C7" w:rsidR="005B5A6B" w:rsidRDefault="00F20224">
          <w:pPr>
            <w:pStyle w:val="TDC2"/>
            <w:rPr>
              <w:rFonts w:asciiTheme="minorHAnsi" w:hAnsiTheme="minorHAnsi"/>
              <w:noProof/>
              <w:kern w:val="2"/>
              <w:szCs w:val="22"/>
              <w:lang w:eastAsia="es-GT"/>
              <w14:ligatures w14:val="standardContextual"/>
            </w:rPr>
          </w:pPr>
          <w:hyperlink w:anchor="_Toc133576485" w:history="1">
            <w:r w:rsidR="005B5A6B" w:rsidRPr="0077623D">
              <w:rPr>
                <w:rStyle w:val="Hipervnculo"/>
                <w:rFonts w:cs="Times New Roman"/>
                <w:noProof/>
                <w:lang w:val="es-ES_tradnl"/>
              </w:rPr>
              <w:t>2.1</w:t>
            </w:r>
            <w:r w:rsidR="005B5A6B">
              <w:rPr>
                <w:rFonts w:asciiTheme="minorHAnsi" w:hAnsiTheme="minorHAnsi"/>
                <w:noProof/>
                <w:kern w:val="2"/>
                <w:szCs w:val="22"/>
                <w:lang w:eastAsia="es-GT"/>
                <w14:ligatures w14:val="standardContextual"/>
              </w:rPr>
              <w:tab/>
            </w:r>
            <w:r w:rsidR="005B5A6B" w:rsidRPr="0077623D">
              <w:rPr>
                <w:rStyle w:val="Hipervnculo"/>
                <w:rFonts w:cs="Times New Roman"/>
                <w:noProof/>
              </w:rPr>
              <w:t xml:space="preserve">El Gasto ha sido muy </w:t>
            </w:r>
            <w:r w:rsidR="005B5A6B" w:rsidRPr="0077623D">
              <w:rPr>
                <w:rStyle w:val="Hipervnculo"/>
                <w:rFonts w:cs="Times New Roman"/>
                <w:noProof/>
                <w:lang w:val="es-ES_tradnl"/>
              </w:rPr>
              <w:t>dinámico</w:t>
            </w:r>
            <w:r w:rsidR="005B5A6B">
              <w:rPr>
                <w:noProof/>
                <w:webHidden/>
              </w:rPr>
              <w:tab/>
            </w:r>
            <w:r w:rsidR="005B5A6B">
              <w:rPr>
                <w:noProof/>
                <w:webHidden/>
              </w:rPr>
              <w:fldChar w:fldCharType="begin"/>
            </w:r>
            <w:r w:rsidR="005B5A6B">
              <w:rPr>
                <w:noProof/>
                <w:webHidden/>
              </w:rPr>
              <w:instrText xml:space="preserve"> PAGEREF _Toc133576485 \h </w:instrText>
            </w:r>
            <w:r w:rsidR="005B5A6B">
              <w:rPr>
                <w:noProof/>
                <w:webHidden/>
              </w:rPr>
            </w:r>
            <w:r w:rsidR="005B5A6B">
              <w:rPr>
                <w:noProof/>
                <w:webHidden/>
              </w:rPr>
              <w:fldChar w:fldCharType="separate"/>
            </w:r>
            <w:r>
              <w:rPr>
                <w:noProof/>
                <w:webHidden/>
              </w:rPr>
              <w:t>4</w:t>
            </w:r>
            <w:r w:rsidR="005B5A6B">
              <w:rPr>
                <w:noProof/>
                <w:webHidden/>
              </w:rPr>
              <w:fldChar w:fldCharType="end"/>
            </w:r>
          </w:hyperlink>
        </w:p>
        <w:p w14:paraId="1EFB5BC0" w14:textId="08711D3E" w:rsidR="005B5A6B" w:rsidRDefault="00F20224">
          <w:pPr>
            <w:pStyle w:val="TDC1"/>
            <w:rPr>
              <w:rFonts w:asciiTheme="minorHAnsi" w:eastAsiaTheme="minorEastAsia" w:hAnsiTheme="minorHAnsi" w:cstheme="minorBidi"/>
              <w:b w:val="0"/>
              <w:bCs w:val="0"/>
              <w:kern w:val="2"/>
              <w:szCs w:val="22"/>
              <w:lang w:eastAsia="es-GT"/>
              <w14:ligatures w14:val="standardContextual"/>
            </w:rPr>
          </w:pPr>
          <w:hyperlink w:anchor="_Toc133576486" w:history="1">
            <w:r w:rsidR="005B5A6B" w:rsidRPr="0077623D">
              <w:rPr>
                <w:rStyle w:val="Hipervnculo"/>
                <w:lang w:val="es-MX"/>
              </w:rPr>
              <w:t>III.</w:t>
            </w:r>
            <w:r w:rsidR="005B5A6B">
              <w:rPr>
                <w:rFonts w:asciiTheme="minorHAnsi" w:eastAsiaTheme="minorEastAsia" w:hAnsiTheme="minorHAnsi" w:cstheme="minorBidi"/>
                <w:b w:val="0"/>
                <w:bCs w:val="0"/>
                <w:kern w:val="2"/>
                <w:szCs w:val="22"/>
                <w:lang w:eastAsia="es-GT"/>
                <w14:ligatures w14:val="standardContextual"/>
              </w:rPr>
              <w:tab/>
            </w:r>
            <w:r w:rsidR="005B5A6B" w:rsidRPr="0077623D">
              <w:rPr>
                <w:rStyle w:val="Hipervnculo"/>
                <w:lang w:val="es-MX"/>
              </w:rPr>
              <w:t>Transacciones en Activos No Financieros</w:t>
            </w:r>
            <w:r w:rsidR="005B5A6B">
              <w:rPr>
                <w:webHidden/>
              </w:rPr>
              <w:tab/>
            </w:r>
            <w:r w:rsidR="005B5A6B">
              <w:rPr>
                <w:webHidden/>
              </w:rPr>
              <w:fldChar w:fldCharType="begin"/>
            </w:r>
            <w:r w:rsidR="005B5A6B">
              <w:rPr>
                <w:webHidden/>
              </w:rPr>
              <w:instrText xml:space="preserve"> PAGEREF _Toc133576486 \h </w:instrText>
            </w:r>
            <w:r w:rsidR="005B5A6B">
              <w:rPr>
                <w:webHidden/>
              </w:rPr>
            </w:r>
            <w:r w:rsidR="005B5A6B">
              <w:rPr>
                <w:webHidden/>
              </w:rPr>
              <w:fldChar w:fldCharType="separate"/>
            </w:r>
            <w:r>
              <w:rPr>
                <w:webHidden/>
              </w:rPr>
              <w:t>5</w:t>
            </w:r>
            <w:r w:rsidR="005B5A6B">
              <w:rPr>
                <w:webHidden/>
              </w:rPr>
              <w:fldChar w:fldCharType="end"/>
            </w:r>
          </w:hyperlink>
        </w:p>
        <w:p w14:paraId="2BFB98F0" w14:textId="7EB15D3E" w:rsidR="005B5A6B" w:rsidRDefault="00F20224">
          <w:pPr>
            <w:pStyle w:val="TDC2"/>
            <w:rPr>
              <w:rFonts w:asciiTheme="minorHAnsi" w:hAnsiTheme="minorHAnsi"/>
              <w:noProof/>
              <w:kern w:val="2"/>
              <w:szCs w:val="22"/>
              <w:lang w:eastAsia="es-GT"/>
              <w14:ligatures w14:val="standardContextual"/>
            </w:rPr>
          </w:pPr>
          <w:hyperlink w:anchor="_Toc133576488" w:history="1">
            <w:r w:rsidR="005B5A6B" w:rsidRPr="0077623D">
              <w:rPr>
                <w:rStyle w:val="Hipervnculo"/>
                <w:rFonts w:cs="Times New Roman"/>
                <w:noProof/>
              </w:rPr>
              <w:t>3.1</w:t>
            </w:r>
            <w:r w:rsidR="005B5A6B">
              <w:rPr>
                <w:rFonts w:asciiTheme="minorHAnsi" w:hAnsiTheme="minorHAnsi"/>
                <w:noProof/>
                <w:kern w:val="2"/>
                <w:szCs w:val="22"/>
                <w:lang w:eastAsia="es-GT"/>
                <w14:ligatures w14:val="standardContextual"/>
              </w:rPr>
              <w:tab/>
            </w:r>
            <w:r w:rsidR="005B5A6B" w:rsidRPr="0077623D">
              <w:rPr>
                <w:rStyle w:val="Hipervnculo"/>
                <w:rFonts w:cs="Times New Roman"/>
                <w:noProof/>
              </w:rPr>
              <w:t>La inversión sigue aumentando</w:t>
            </w:r>
            <w:r w:rsidR="005B5A6B">
              <w:rPr>
                <w:noProof/>
                <w:webHidden/>
              </w:rPr>
              <w:tab/>
            </w:r>
            <w:r w:rsidR="005B5A6B">
              <w:rPr>
                <w:noProof/>
                <w:webHidden/>
              </w:rPr>
              <w:fldChar w:fldCharType="begin"/>
            </w:r>
            <w:r w:rsidR="005B5A6B">
              <w:rPr>
                <w:noProof/>
                <w:webHidden/>
              </w:rPr>
              <w:instrText xml:space="preserve"> PAGEREF _Toc133576488 \h </w:instrText>
            </w:r>
            <w:r w:rsidR="005B5A6B">
              <w:rPr>
                <w:noProof/>
                <w:webHidden/>
              </w:rPr>
            </w:r>
            <w:r w:rsidR="005B5A6B">
              <w:rPr>
                <w:noProof/>
                <w:webHidden/>
              </w:rPr>
              <w:fldChar w:fldCharType="separate"/>
            </w:r>
            <w:r>
              <w:rPr>
                <w:noProof/>
                <w:webHidden/>
              </w:rPr>
              <w:t>5</w:t>
            </w:r>
            <w:r w:rsidR="005B5A6B">
              <w:rPr>
                <w:noProof/>
                <w:webHidden/>
              </w:rPr>
              <w:fldChar w:fldCharType="end"/>
            </w:r>
          </w:hyperlink>
        </w:p>
        <w:p w14:paraId="6E26EDE6" w14:textId="0E81DFD2" w:rsidR="005B5A6B" w:rsidRDefault="00F20224">
          <w:pPr>
            <w:pStyle w:val="TDC1"/>
            <w:rPr>
              <w:rFonts w:asciiTheme="minorHAnsi" w:eastAsiaTheme="minorEastAsia" w:hAnsiTheme="minorHAnsi" w:cstheme="minorBidi"/>
              <w:b w:val="0"/>
              <w:bCs w:val="0"/>
              <w:kern w:val="2"/>
              <w:szCs w:val="22"/>
              <w:lang w:eastAsia="es-GT"/>
              <w14:ligatures w14:val="standardContextual"/>
            </w:rPr>
          </w:pPr>
          <w:hyperlink w:anchor="_Toc133576489" w:history="1">
            <w:r w:rsidR="005B5A6B" w:rsidRPr="0077623D">
              <w:rPr>
                <w:rStyle w:val="Hipervnculo"/>
                <w:lang w:val="es-MX"/>
              </w:rPr>
              <w:t>IV.</w:t>
            </w:r>
            <w:r w:rsidR="005B5A6B">
              <w:rPr>
                <w:rFonts w:asciiTheme="minorHAnsi" w:eastAsiaTheme="minorEastAsia" w:hAnsiTheme="minorHAnsi" w:cstheme="minorBidi"/>
                <w:b w:val="0"/>
                <w:bCs w:val="0"/>
                <w:kern w:val="2"/>
                <w:szCs w:val="22"/>
                <w:lang w:eastAsia="es-GT"/>
                <w14:ligatures w14:val="standardContextual"/>
              </w:rPr>
              <w:tab/>
            </w:r>
            <w:r w:rsidR="005B5A6B" w:rsidRPr="0077623D">
              <w:rPr>
                <w:rStyle w:val="Hipervnculo"/>
                <w:lang w:val="es-MX"/>
              </w:rPr>
              <w:t>Financiamiento</w:t>
            </w:r>
            <w:r w:rsidR="005B5A6B">
              <w:rPr>
                <w:webHidden/>
              </w:rPr>
              <w:tab/>
            </w:r>
            <w:r w:rsidR="005B5A6B">
              <w:rPr>
                <w:webHidden/>
              </w:rPr>
              <w:fldChar w:fldCharType="begin"/>
            </w:r>
            <w:r w:rsidR="005B5A6B">
              <w:rPr>
                <w:webHidden/>
              </w:rPr>
              <w:instrText xml:space="preserve"> PAGEREF _Toc133576489 \h </w:instrText>
            </w:r>
            <w:r w:rsidR="005B5A6B">
              <w:rPr>
                <w:webHidden/>
              </w:rPr>
            </w:r>
            <w:r w:rsidR="005B5A6B">
              <w:rPr>
                <w:webHidden/>
              </w:rPr>
              <w:fldChar w:fldCharType="separate"/>
            </w:r>
            <w:r>
              <w:rPr>
                <w:webHidden/>
              </w:rPr>
              <w:t>6</w:t>
            </w:r>
            <w:r w:rsidR="005B5A6B">
              <w:rPr>
                <w:webHidden/>
              </w:rPr>
              <w:fldChar w:fldCharType="end"/>
            </w:r>
          </w:hyperlink>
        </w:p>
        <w:p w14:paraId="66819207" w14:textId="31830C3C" w:rsidR="005B5A6B" w:rsidRDefault="00F20224">
          <w:pPr>
            <w:pStyle w:val="TDC2"/>
            <w:rPr>
              <w:rFonts w:asciiTheme="minorHAnsi" w:hAnsiTheme="minorHAnsi"/>
              <w:noProof/>
              <w:kern w:val="2"/>
              <w:szCs w:val="22"/>
              <w:lang w:eastAsia="es-GT"/>
              <w14:ligatures w14:val="standardContextual"/>
            </w:rPr>
          </w:pPr>
          <w:hyperlink w:anchor="_Toc133576491" w:history="1">
            <w:r w:rsidR="005B5A6B" w:rsidRPr="0077623D">
              <w:rPr>
                <w:rStyle w:val="Hipervnculo"/>
                <w:rFonts w:cs="Times New Roman"/>
                <w:noProof/>
              </w:rPr>
              <w:t>4.1</w:t>
            </w:r>
            <w:r w:rsidR="005B5A6B">
              <w:rPr>
                <w:rFonts w:asciiTheme="minorHAnsi" w:hAnsiTheme="minorHAnsi"/>
                <w:noProof/>
                <w:kern w:val="2"/>
                <w:szCs w:val="22"/>
                <w:lang w:eastAsia="es-GT"/>
                <w14:ligatures w14:val="standardContextual"/>
              </w:rPr>
              <w:tab/>
            </w:r>
            <w:r w:rsidR="005B5A6B" w:rsidRPr="0077623D">
              <w:rPr>
                <w:rStyle w:val="Hipervnculo"/>
                <w:rFonts w:cs="Times New Roman"/>
                <w:noProof/>
              </w:rPr>
              <w:t>Uso de los activos financieros como fuente de financiamiento</w:t>
            </w:r>
            <w:r w:rsidR="005B5A6B">
              <w:rPr>
                <w:noProof/>
                <w:webHidden/>
              </w:rPr>
              <w:tab/>
            </w:r>
            <w:r w:rsidR="005B5A6B">
              <w:rPr>
                <w:noProof/>
                <w:webHidden/>
              </w:rPr>
              <w:fldChar w:fldCharType="begin"/>
            </w:r>
            <w:r w:rsidR="005B5A6B">
              <w:rPr>
                <w:noProof/>
                <w:webHidden/>
              </w:rPr>
              <w:instrText xml:space="preserve"> PAGEREF _Toc133576491 \h </w:instrText>
            </w:r>
            <w:r w:rsidR="005B5A6B">
              <w:rPr>
                <w:noProof/>
                <w:webHidden/>
              </w:rPr>
            </w:r>
            <w:r w:rsidR="005B5A6B">
              <w:rPr>
                <w:noProof/>
                <w:webHidden/>
              </w:rPr>
              <w:fldChar w:fldCharType="separate"/>
            </w:r>
            <w:r>
              <w:rPr>
                <w:noProof/>
                <w:webHidden/>
              </w:rPr>
              <w:t>6</w:t>
            </w:r>
            <w:r w:rsidR="005B5A6B">
              <w:rPr>
                <w:noProof/>
                <w:webHidden/>
              </w:rPr>
              <w:fldChar w:fldCharType="end"/>
            </w:r>
          </w:hyperlink>
        </w:p>
        <w:p w14:paraId="13CC11F4" w14:textId="42EFCF33" w:rsidR="005B5A6B" w:rsidRDefault="00F20224">
          <w:pPr>
            <w:pStyle w:val="TDC2"/>
            <w:rPr>
              <w:rFonts w:asciiTheme="minorHAnsi" w:hAnsiTheme="minorHAnsi"/>
              <w:noProof/>
              <w:kern w:val="2"/>
              <w:szCs w:val="22"/>
              <w:lang w:eastAsia="es-GT"/>
              <w14:ligatures w14:val="standardContextual"/>
            </w:rPr>
          </w:pPr>
          <w:hyperlink w:anchor="_Toc133576492" w:history="1">
            <w:r w:rsidR="005B5A6B" w:rsidRPr="0077623D">
              <w:rPr>
                <w:rStyle w:val="Hipervnculo"/>
                <w:rFonts w:cs="Times New Roman"/>
                <w:noProof/>
              </w:rPr>
              <w:t>4.2</w:t>
            </w:r>
            <w:r w:rsidR="005B5A6B">
              <w:rPr>
                <w:rFonts w:asciiTheme="minorHAnsi" w:hAnsiTheme="minorHAnsi"/>
                <w:noProof/>
                <w:kern w:val="2"/>
                <w:szCs w:val="22"/>
                <w:lang w:eastAsia="es-GT"/>
                <w14:ligatures w14:val="standardContextual"/>
              </w:rPr>
              <w:tab/>
            </w:r>
            <w:r w:rsidR="005B5A6B" w:rsidRPr="0077623D">
              <w:rPr>
                <w:rStyle w:val="Hipervnculo"/>
                <w:rFonts w:cs="Times New Roman"/>
                <w:noProof/>
              </w:rPr>
              <w:t>Se han amortizado los pasivos</w:t>
            </w:r>
            <w:r w:rsidR="005B5A6B">
              <w:rPr>
                <w:noProof/>
                <w:webHidden/>
              </w:rPr>
              <w:tab/>
            </w:r>
            <w:r w:rsidR="005B5A6B">
              <w:rPr>
                <w:noProof/>
                <w:webHidden/>
              </w:rPr>
              <w:fldChar w:fldCharType="begin"/>
            </w:r>
            <w:r w:rsidR="005B5A6B">
              <w:rPr>
                <w:noProof/>
                <w:webHidden/>
              </w:rPr>
              <w:instrText xml:space="preserve"> PAGEREF _Toc133576492 \h </w:instrText>
            </w:r>
            <w:r w:rsidR="005B5A6B">
              <w:rPr>
                <w:noProof/>
                <w:webHidden/>
              </w:rPr>
            </w:r>
            <w:r w:rsidR="005B5A6B">
              <w:rPr>
                <w:noProof/>
                <w:webHidden/>
              </w:rPr>
              <w:fldChar w:fldCharType="separate"/>
            </w:r>
            <w:r>
              <w:rPr>
                <w:noProof/>
                <w:webHidden/>
              </w:rPr>
              <w:t>6</w:t>
            </w:r>
            <w:r w:rsidR="005B5A6B">
              <w:rPr>
                <w:noProof/>
                <w:webHidden/>
              </w:rPr>
              <w:fldChar w:fldCharType="end"/>
            </w:r>
          </w:hyperlink>
        </w:p>
        <w:p w14:paraId="16D97757" w14:textId="05C50730" w:rsidR="005B5A6B" w:rsidRDefault="00F20224">
          <w:pPr>
            <w:pStyle w:val="TDC1"/>
            <w:rPr>
              <w:rFonts w:asciiTheme="minorHAnsi" w:eastAsiaTheme="minorEastAsia" w:hAnsiTheme="minorHAnsi" w:cstheme="minorBidi"/>
              <w:b w:val="0"/>
              <w:bCs w:val="0"/>
              <w:kern w:val="2"/>
              <w:szCs w:val="22"/>
              <w:lang w:eastAsia="es-GT"/>
              <w14:ligatures w14:val="standardContextual"/>
            </w:rPr>
          </w:pPr>
          <w:hyperlink w:anchor="_Toc133576493" w:history="1">
            <w:r w:rsidR="005B5A6B" w:rsidRPr="0077623D">
              <w:rPr>
                <w:rStyle w:val="Hipervnculo"/>
                <w:lang w:val="es-ES_tradnl"/>
              </w:rPr>
              <w:t>V.</w:t>
            </w:r>
            <w:r w:rsidR="005B5A6B">
              <w:rPr>
                <w:rFonts w:asciiTheme="minorHAnsi" w:eastAsiaTheme="minorEastAsia" w:hAnsiTheme="minorHAnsi" w:cstheme="minorBidi"/>
                <w:b w:val="0"/>
                <w:bCs w:val="0"/>
                <w:kern w:val="2"/>
                <w:szCs w:val="22"/>
                <w:lang w:eastAsia="es-GT"/>
                <w14:ligatures w14:val="standardContextual"/>
              </w:rPr>
              <w:tab/>
            </w:r>
            <w:r w:rsidR="005B5A6B" w:rsidRPr="0077623D">
              <w:rPr>
                <w:rStyle w:val="Hipervnculo"/>
                <w:lang w:val="es-ES_tradnl"/>
              </w:rPr>
              <w:t>Erogaciones del Gobierno Central Presupuestario</w:t>
            </w:r>
            <w:r w:rsidR="005B5A6B">
              <w:rPr>
                <w:webHidden/>
              </w:rPr>
              <w:tab/>
            </w:r>
            <w:r w:rsidR="005B5A6B">
              <w:rPr>
                <w:webHidden/>
              </w:rPr>
              <w:fldChar w:fldCharType="begin"/>
            </w:r>
            <w:r w:rsidR="005B5A6B">
              <w:rPr>
                <w:webHidden/>
              </w:rPr>
              <w:instrText xml:space="preserve"> PAGEREF _Toc133576493 \h </w:instrText>
            </w:r>
            <w:r w:rsidR="005B5A6B">
              <w:rPr>
                <w:webHidden/>
              </w:rPr>
            </w:r>
            <w:r w:rsidR="005B5A6B">
              <w:rPr>
                <w:webHidden/>
              </w:rPr>
              <w:fldChar w:fldCharType="separate"/>
            </w:r>
            <w:r>
              <w:rPr>
                <w:webHidden/>
              </w:rPr>
              <w:t>7</w:t>
            </w:r>
            <w:r w:rsidR="005B5A6B">
              <w:rPr>
                <w:webHidden/>
              </w:rPr>
              <w:fldChar w:fldCharType="end"/>
            </w:r>
          </w:hyperlink>
        </w:p>
        <w:p w14:paraId="2FC3F2D6" w14:textId="1D83A5A5" w:rsidR="005B5A6B" w:rsidRDefault="00F20224">
          <w:pPr>
            <w:pStyle w:val="TDC2"/>
            <w:rPr>
              <w:rFonts w:asciiTheme="minorHAnsi" w:hAnsiTheme="minorHAnsi"/>
              <w:noProof/>
              <w:kern w:val="2"/>
              <w:szCs w:val="22"/>
              <w:lang w:eastAsia="es-GT"/>
              <w14:ligatures w14:val="standardContextual"/>
            </w:rPr>
          </w:pPr>
          <w:hyperlink w:anchor="_Toc133576500" w:history="1">
            <w:r w:rsidR="005B5A6B" w:rsidRPr="0077623D">
              <w:rPr>
                <w:rStyle w:val="Hipervnculo"/>
                <w:rFonts w:cs="Times New Roman"/>
                <w:noProof/>
              </w:rPr>
              <w:t>5.1</w:t>
            </w:r>
            <w:r w:rsidR="005B5A6B">
              <w:rPr>
                <w:rFonts w:asciiTheme="minorHAnsi" w:hAnsiTheme="minorHAnsi"/>
                <w:noProof/>
                <w:kern w:val="2"/>
                <w:szCs w:val="22"/>
                <w:lang w:eastAsia="es-GT"/>
                <w14:ligatures w14:val="standardContextual"/>
              </w:rPr>
              <w:tab/>
            </w:r>
            <w:r w:rsidR="005B5A6B" w:rsidRPr="0077623D">
              <w:rPr>
                <w:rStyle w:val="Hipervnculo"/>
                <w:rFonts w:cs="Times New Roman"/>
                <w:noProof/>
              </w:rPr>
              <w:t>Las erogaciones en Servicios Públicos y Asuntos económicos han sido las más dinámicas</w:t>
            </w:r>
            <w:r w:rsidR="005B5A6B">
              <w:rPr>
                <w:noProof/>
                <w:webHidden/>
              </w:rPr>
              <w:tab/>
            </w:r>
            <w:r w:rsidR="005B5A6B">
              <w:rPr>
                <w:noProof/>
                <w:webHidden/>
              </w:rPr>
              <w:fldChar w:fldCharType="begin"/>
            </w:r>
            <w:r w:rsidR="005B5A6B">
              <w:rPr>
                <w:noProof/>
                <w:webHidden/>
              </w:rPr>
              <w:instrText xml:space="preserve"> PAGEREF _Toc133576500 \h </w:instrText>
            </w:r>
            <w:r w:rsidR="005B5A6B">
              <w:rPr>
                <w:noProof/>
                <w:webHidden/>
              </w:rPr>
            </w:r>
            <w:r w:rsidR="005B5A6B">
              <w:rPr>
                <w:noProof/>
                <w:webHidden/>
              </w:rPr>
              <w:fldChar w:fldCharType="separate"/>
            </w:r>
            <w:r>
              <w:rPr>
                <w:noProof/>
                <w:webHidden/>
              </w:rPr>
              <w:t>7</w:t>
            </w:r>
            <w:r w:rsidR="005B5A6B">
              <w:rPr>
                <w:noProof/>
                <w:webHidden/>
              </w:rPr>
              <w:fldChar w:fldCharType="end"/>
            </w:r>
          </w:hyperlink>
        </w:p>
        <w:p w14:paraId="0B47D85B" w14:textId="01EDD40F" w:rsidR="005B5A6B" w:rsidRDefault="00F20224">
          <w:pPr>
            <w:pStyle w:val="TDC2"/>
            <w:rPr>
              <w:rFonts w:asciiTheme="minorHAnsi" w:hAnsiTheme="minorHAnsi"/>
              <w:noProof/>
              <w:kern w:val="2"/>
              <w:szCs w:val="22"/>
              <w:lang w:eastAsia="es-GT"/>
              <w14:ligatures w14:val="standardContextual"/>
            </w:rPr>
          </w:pPr>
          <w:hyperlink w:anchor="_Toc133576501" w:history="1">
            <w:r w:rsidR="005B5A6B" w:rsidRPr="0077623D">
              <w:rPr>
                <w:rStyle w:val="Hipervnculo"/>
                <w:rFonts w:cs="Times New Roman"/>
                <w:noProof/>
              </w:rPr>
              <w:t>5.2</w:t>
            </w:r>
            <w:r w:rsidR="005B5A6B">
              <w:rPr>
                <w:rFonts w:asciiTheme="minorHAnsi" w:hAnsiTheme="minorHAnsi"/>
                <w:noProof/>
                <w:kern w:val="2"/>
                <w:szCs w:val="22"/>
                <w:lang w:eastAsia="es-GT"/>
                <w14:ligatures w14:val="standardContextual"/>
              </w:rPr>
              <w:tab/>
            </w:r>
            <w:r w:rsidR="005B5A6B" w:rsidRPr="0077623D">
              <w:rPr>
                <w:rStyle w:val="Hipervnculo"/>
                <w:rFonts w:cs="Times New Roman"/>
                <w:noProof/>
              </w:rPr>
              <w:t>Ejecución institucional</w:t>
            </w:r>
            <w:r w:rsidR="005B5A6B">
              <w:rPr>
                <w:noProof/>
                <w:webHidden/>
              </w:rPr>
              <w:tab/>
            </w:r>
            <w:r w:rsidR="005B5A6B">
              <w:rPr>
                <w:noProof/>
                <w:webHidden/>
              </w:rPr>
              <w:fldChar w:fldCharType="begin"/>
            </w:r>
            <w:r w:rsidR="005B5A6B">
              <w:rPr>
                <w:noProof/>
                <w:webHidden/>
              </w:rPr>
              <w:instrText xml:space="preserve"> PAGEREF _Toc133576501 \h </w:instrText>
            </w:r>
            <w:r w:rsidR="005B5A6B">
              <w:rPr>
                <w:noProof/>
                <w:webHidden/>
              </w:rPr>
            </w:r>
            <w:r w:rsidR="005B5A6B">
              <w:rPr>
                <w:noProof/>
                <w:webHidden/>
              </w:rPr>
              <w:fldChar w:fldCharType="separate"/>
            </w:r>
            <w:r>
              <w:rPr>
                <w:noProof/>
                <w:webHidden/>
              </w:rPr>
              <w:t>8</w:t>
            </w:r>
            <w:r w:rsidR="005B5A6B">
              <w:rPr>
                <w:noProof/>
                <w:webHidden/>
              </w:rPr>
              <w:fldChar w:fldCharType="end"/>
            </w:r>
          </w:hyperlink>
        </w:p>
        <w:p w14:paraId="5E43E204" w14:textId="6CFD7171" w:rsidR="005B5A6B" w:rsidRDefault="00F20224">
          <w:pPr>
            <w:pStyle w:val="TDC1"/>
            <w:rPr>
              <w:rFonts w:asciiTheme="minorHAnsi" w:eastAsiaTheme="minorEastAsia" w:hAnsiTheme="minorHAnsi" w:cstheme="minorBidi"/>
              <w:b w:val="0"/>
              <w:bCs w:val="0"/>
              <w:kern w:val="2"/>
              <w:szCs w:val="22"/>
              <w:lang w:eastAsia="es-GT"/>
              <w14:ligatures w14:val="standardContextual"/>
            </w:rPr>
          </w:pPr>
          <w:hyperlink w:anchor="_Toc133576502" w:history="1">
            <w:r w:rsidR="005B5A6B" w:rsidRPr="0077623D">
              <w:rPr>
                <w:rStyle w:val="Hipervnculo"/>
                <w:lang w:val="es-MX"/>
              </w:rPr>
              <w:t>VI.</w:t>
            </w:r>
            <w:r w:rsidR="005B5A6B">
              <w:rPr>
                <w:rFonts w:asciiTheme="minorHAnsi" w:eastAsiaTheme="minorEastAsia" w:hAnsiTheme="minorHAnsi" w:cstheme="minorBidi"/>
                <w:b w:val="0"/>
                <w:bCs w:val="0"/>
                <w:kern w:val="2"/>
                <w:szCs w:val="22"/>
                <w:lang w:eastAsia="es-GT"/>
                <w14:ligatures w14:val="standardContextual"/>
              </w:rPr>
              <w:tab/>
            </w:r>
            <w:r w:rsidR="005B5A6B" w:rsidRPr="0077623D">
              <w:rPr>
                <w:rStyle w:val="Hipervnculo"/>
                <w:lang w:val="es-MX"/>
              </w:rPr>
              <w:t>Resultado Fiscal</w:t>
            </w:r>
            <w:r w:rsidR="005B5A6B">
              <w:rPr>
                <w:webHidden/>
              </w:rPr>
              <w:tab/>
            </w:r>
            <w:r w:rsidR="005B5A6B">
              <w:rPr>
                <w:webHidden/>
              </w:rPr>
              <w:fldChar w:fldCharType="begin"/>
            </w:r>
            <w:r w:rsidR="005B5A6B">
              <w:rPr>
                <w:webHidden/>
              </w:rPr>
              <w:instrText xml:space="preserve"> PAGEREF _Toc133576502 \h </w:instrText>
            </w:r>
            <w:r w:rsidR="005B5A6B">
              <w:rPr>
                <w:webHidden/>
              </w:rPr>
            </w:r>
            <w:r w:rsidR="005B5A6B">
              <w:rPr>
                <w:webHidden/>
              </w:rPr>
              <w:fldChar w:fldCharType="separate"/>
            </w:r>
            <w:r>
              <w:rPr>
                <w:webHidden/>
              </w:rPr>
              <w:t>9</w:t>
            </w:r>
            <w:r w:rsidR="005B5A6B">
              <w:rPr>
                <w:webHidden/>
              </w:rPr>
              <w:fldChar w:fldCharType="end"/>
            </w:r>
          </w:hyperlink>
        </w:p>
        <w:p w14:paraId="6D428DD0" w14:textId="62DE5253" w:rsidR="005B5A6B" w:rsidRDefault="00F20224">
          <w:pPr>
            <w:pStyle w:val="TDC2"/>
            <w:rPr>
              <w:rFonts w:asciiTheme="minorHAnsi" w:hAnsiTheme="minorHAnsi"/>
              <w:noProof/>
              <w:kern w:val="2"/>
              <w:szCs w:val="22"/>
              <w:lang w:eastAsia="es-GT"/>
              <w14:ligatures w14:val="standardContextual"/>
            </w:rPr>
          </w:pPr>
          <w:hyperlink w:anchor="_Toc133576504" w:history="1">
            <w:r w:rsidR="005B5A6B" w:rsidRPr="0077623D">
              <w:rPr>
                <w:rStyle w:val="Hipervnculo"/>
                <w:rFonts w:cs="Times New Roman"/>
                <w:noProof/>
              </w:rPr>
              <w:t>6.1</w:t>
            </w:r>
            <w:r w:rsidR="005B5A6B">
              <w:rPr>
                <w:rFonts w:asciiTheme="minorHAnsi" w:hAnsiTheme="minorHAnsi"/>
                <w:noProof/>
                <w:kern w:val="2"/>
                <w:szCs w:val="22"/>
                <w:lang w:eastAsia="es-GT"/>
                <w14:ligatures w14:val="standardContextual"/>
              </w:rPr>
              <w:tab/>
            </w:r>
            <w:r w:rsidR="005B5A6B" w:rsidRPr="0077623D">
              <w:rPr>
                <w:rStyle w:val="Hipervnculo"/>
                <w:rFonts w:cs="Times New Roman"/>
                <w:noProof/>
              </w:rPr>
              <w:t>Resultado Operativo</w:t>
            </w:r>
            <w:r w:rsidR="005B5A6B">
              <w:rPr>
                <w:noProof/>
                <w:webHidden/>
              </w:rPr>
              <w:tab/>
            </w:r>
            <w:r w:rsidR="005B5A6B">
              <w:rPr>
                <w:noProof/>
                <w:webHidden/>
              </w:rPr>
              <w:fldChar w:fldCharType="begin"/>
            </w:r>
            <w:r w:rsidR="005B5A6B">
              <w:rPr>
                <w:noProof/>
                <w:webHidden/>
              </w:rPr>
              <w:instrText xml:space="preserve"> PAGEREF _Toc133576504 \h </w:instrText>
            </w:r>
            <w:r w:rsidR="005B5A6B">
              <w:rPr>
                <w:noProof/>
                <w:webHidden/>
              </w:rPr>
            </w:r>
            <w:r w:rsidR="005B5A6B">
              <w:rPr>
                <w:noProof/>
                <w:webHidden/>
              </w:rPr>
              <w:fldChar w:fldCharType="separate"/>
            </w:r>
            <w:r>
              <w:rPr>
                <w:noProof/>
                <w:webHidden/>
              </w:rPr>
              <w:t>9</w:t>
            </w:r>
            <w:r w:rsidR="005B5A6B">
              <w:rPr>
                <w:noProof/>
                <w:webHidden/>
              </w:rPr>
              <w:fldChar w:fldCharType="end"/>
            </w:r>
          </w:hyperlink>
        </w:p>
        <w:p w14:paraId="2D476704" w14:textId="276A50C3" w:rsidR="005B5A6B" w:rsidRDefault="00F20224">
          <w:pPr>
            <w:pStyle w:val="TDC2"/>
            <w:rPr>
              <w:rFonts w:asciiTheme="minorHAnsi" w:hAnsiTheme="minorHAnsi"/>
              <w:noProof/>
              <w:kern w:val="2"/>
              <w:szCs w:val="22"/>
              <w:lang w:eastAsia="es-GT"/>
              <w14:ligatures w14:val="standardContextual"/>
            </w:rPr>
          </w:pPr>
          <w:hyperlink w:anchor="_Toc133576505" w:history="1">
            <w:r w:rsidR="005B5A6B" w:rsidRPr="0077623D">
              <w:rPr>
                <w:rStyle w:val="Hipervnculo"/>
                <w:rFonts w:cs="Times New Roman"/>
                <w:noProof/>
              </w:rPr>
              <w:t>6.2</w:t>
            </w:r>
            <w:r w:rsidR="005B5A6B">
              <w:rPr>
                <w:rFonts w:asciiTheme="minorHAnsi" w:hAnsiTheme="minorHAnsi"/>
                <w:noProof/>
                <w:kern w:val="2"/>
                <w:szCs w:val="22"/>
                <w:lang w:eastAsia="es-GT"/>
                <w14:ligatures w14:val="standardContextual"/>
              </w:rPr>
              <w:tab/>
            </w:r>
            <w:r w:rsidR="005B5A6B" w:rsidRPr="0077623D">
              <w:rPr>
                <w:rStyle w:val="Hipervnculo"/>
                <w:rFonts w:cs="Times New Roman"/>
                <w:noProof/>
              </w:rPr>
              <w:t>Endeudamiento Neto</w:t>
            </w:r>
            <w:r w:rsidR="005B5A6B">
              <w:rPr>
                <w:noProof/>
                <w:webHidden/>
              </w:rPr>
              <w:tab/>
            </w:r>
            <w:r w:rsidR="005B5A6B">
              <w:rPr>
                <w:noProof/>
                <w:webHidden/>
              </w:rPr>
              <w:fldChar w:fldCharType="begin"/>
            </w:r>
            <w:r w:rsidR="005B5A6B">
              <w:rPr>
                <w:noProof/>
                <w:webHidden/>
              </w:rPr>
              <w:instrText xml:space="preserve"> PAGEREF _Toc133576505 \h </w:instrText>
            </w:r>
            <w:r w:rsidR="005B5A6B">
              <w:rPr>
                <w:noProof/>
                <w:webHidden/>
              </w:rPr>
            </w:r>
            <w:r w:rsidR="005B5A6B">
              <w:rPr>
                <w:noProof/>
                <w:webHidden/>
              </w:rPr>
              <w:fldChar w:fldCharType="separate"/>
            </w:r>
            <w:r>
              <w:rPr>
                <w:noProof/>
                <w:webHidden/>
              </w:rPr>
              <w:t>9</w:t>
            </w:r>
            <w:r w:rsidR="005B5A6B">
              <w:rPr>
                <w:noProof/>
                <w:webHidden/>
              </w:rPr>
              <w:fldChar w:fldCharType="end"/>
            </w:r>
          </w:hyperlink>
        </w:p>
        <w:p w14:paraId="5BE2AAB0" w14:textId="2747C112" w:rsidR="0032588B" w:rsidRPr="00FC4688" w:rsidRDefault="0032588B" w:rsidP="00CD34D6">
          <w:pPr>
            <w:spacing w:line="276" w:lineRule="auto"/>
            <w:rPr>
              <w:rFonts w:cs="Times New Roman"/>
              <w:color w:val="FF0000"/>
            </w:rPr>
          </w:pPr>
          <w:r w:rsidRPr="00FC4688">
            <w:rPr>
              <w:rFonts w:cs="Times New Roman"/>
              <w:bCs/>
              <w:color w:val="FF0000"/>
              <w:lang w:val="es-ES"/>
            </w:rPr>
            <w:fldChar w:fldCharType="end"/>
          </w:r>
        </w:p>
      </w:sdtContent>
    </w:sdt>
    <w:p w14:paraId="21BB0213" w14:textId="77777777" w:rsidR="006B58E6" w:rsidRPr="00FC4688" w:rsidRDefault="006B58E6" w:rsidP="006B58E6">
      <w:pPr>
        <w:tabs>
          <w:tab w:val="left" w:pos="5490"/>
        </w:tabs>
        <w:spacing w:after="200" w:line="276" w:lineRule="auto"/>
        <w:rPr>
          <w:rFonts w:eastAsiaTheme="majorEastAsia" w:cs="Times New Roman"/>
          <w:b/>
          <w:bCs/>
          <w:szCs w:val="26"/>
        </w:rPr>
      </w:pPr>
      <w:bookmarkStart w:id="3" w:name="_Toc33180541"/>
      <w:r w:rsidRPr="00FC4688">
        <w:rPr>
          <w:rFonts w:eastAsiaTheme="majorEastAsia" w:cs="Times New Roman"/>
          <w:b/>
          <w:bCs/>
          <w:szCs w:val="26"/>
        </w:rPr>
        <w:tab/>
      </w:r>
    </w:p>
    <w:p w14:paraId="1E4B481B" w14:textId="5CF023FB" w:rsidR="0041288C" w:rsidRPr="00FC4688" w:rsidRDefault="0041288C" w:rsidP="006B58E6">
      <w:pPr>
        <w:tabs>
          <w:tab w:val="left" w:pos="5490"/>
        </w:tabs>
        <w:spacing w:after="200" w:line="276" w:lineRule="auto"/>
        <w:rPr>
          <w:rFonts w:eastAsiaTheme="majorEastAsia" w:cs="Times New Roman"/>
          <w:b/>
          <w:bCs/>
          <w:szCs w:val="26"/>
        </w:rPr>
      </w:pPr>
      <w:r w:rsidRPr="00FC4688">
        <w:rPr>
          <w:rFonts w:eastAsiaTheme="majorEastAsia" w:cs="Times New Roman"/>
          <w:szCs w:val="26"/>
        </w:rPr>
        <w:br w:type="page"/>
      </w:r>
    </w:p>
    <w:p w14:paraId="4919E5EF" w14:textId="77777777" w:rsidR="0041288C" w:rsidRPr="00FC4688" w:rsidRDefault="0041288C" w:rsidP="00055D08">
      <w:pPr>
        <w:pStyle w:val="Prrafodelista"/>
        <w:ind w:left="0"/>
        <w:outlineLvl w:val="0"/>
        <w:rPr>
          <w:rFonts w:eastAsiaTheme="majorEastAsia" w:cs="Times New Roman"/>
          <w:b/>
          <w:bCs/>
          <w:sz w:val="24"/>
          <w:szCs w:val="26"/>
          <w:lang w:val="es-ES_tradnl" w:eastAsia="es-ES"/>
        </w:rPr>
      </w:pPr>
      <w:bookmarkStart w:id="4" w:name="_Toc133576474"/>
      <w:r w:rsidRPr="00FC4688">
        <w:rPr>
          <w:rFonts w:eastAsiaTheme="majorEastAsia" w:cs="Times New Roman"/>
          <w:b/>
          <w:bCs/>
          <w:sz w:val="24"/>
          <w:szCs w:val="26"/>
          <w:lang w:val="es-ES_tradnl" w:eastAsia="es-ES"/>
        </w:rPr>
        <w:lastRenderedPageBreak/>
        <w:t>Introducción</w:t>
      </w:r>
      <w:bookmarkEnd w:id="3"/>
      <w:bookmarkEnd w:id="4"/>
    </w:p>
    <w:p w14:paraId="0196EF86" w14:textId="4C524211" w:rsidR="00974B8B" w:rsidRPr="00FC4688" w:rsidRDefault="0041288C" w:rsidP="00F55D61">
      <w:pPr>
        <w:rPr>
          <w:lang w:val="es-MX"/>
        </w:rPr>
      </w:pPr>
      <w:r w:rsidRPr="00FC4688">
        <w:rPr>
          <w:lang w:val="es-MX"/>
        </w:rPr>
        <w:t xml:space="preserve">A </w:t>
      </w:r>
      <w:r w:rsidR="0060366C" w:rsidRPr="00FC4688">
        <w:rPr>
          <w:lang w:val="es-MX"/>
        </w:rPr>
        <w:t>continuación,</w:t>
      </w:r>
      <w:r w:rsidRPr="00FC4688">
        <w:rPr>
          <w:lang w:val="es-MX"/>
        </w:rPr>
        <w:t xml:space="preserve"> se presenta </w:t>
      </w:r>
      <w:r w:rsidRPr="00FC4688">
        <w:rPr>
          <w:b/>
          <w:bCs/>
          <w:lang w:val="es-MX"/>
        </w:rPr>
        <w:t>el Informe</w:t>
      </w:r>
      <w:r w:rsidR="00445193" w:rsidRPr="00FC4688">
        <w:rPr>
          <w:b/>
          <w:bCs/>
          <w:lang w:val="es-MX"/>
        </w:rPr>
        <w:t xml:space="preserve"> </w:t>
      </w:r>
      <w:r w:rsidR="005557C8">
        <w:rPr>
          <w:b/>
          <w:bCs/>
          <w:lang w:val="es-MX"/>
        </w:rPr>
        <w:t>al primer trimestre</w:t>
      </w:r>
      <w:r w:rsidR="002E2298" w:rsidRPr="00FC4688">
        <w:rPr>
          <w:b/>
          <w:bCs/>
          <w:lang w:val="es-MX"/>
        </w:rPr>
        <w:t xml:space="preserve"> de 20</w:t>
      </w:r>
      <w:r w:rsidR="005557C8">
        <w:rPr>
          <w:b/>
          <w:bCs/>
          <w:lang w:val="es-MX"/>
        </w:rPr>
        <w:t>23</w:t>
      </w:r>
      <w:r w:rsidR="002E2298" w:rsidRPr="00FC4688">
        <w:rPr>
          <w:lang w:val="es-MX"/>
        </w:rPr>
        <w:t xml:space="preserve">, </w:t>
      </w:r>
      <w:r w:rsidRPr="00FC4688">
        <w:rPr>
          <w:lang w:val="es-MX"/>
        </w:rPr>
        <w:t>sobre l</w:t>
      </w:r>
      <w:r w:rsidR="00D63046" w:rsidRPr="00FC4688">
        <w:rPr>
          <w:lang w:val="es-MX"/>
        </w:rPr>
        <w:t>a ejecución financiera del gobierno central presupuestario sobre la base de las</w:t>
      </w:r>
      <w:r w:rsidRPr="00FC4688">
        <w:rPr>
          <w:lang w:val="es-MX"/>
        </w:rPr>
        <w:t xml:space="preserve"> Estadísticas de las Finanzas Públicas -EFP- el cual contiene los aspectos más relevantes de la evolución de las variables fiscales</w:t>
      </w:r>
      <w:r w:rsidR="00D63046" w:rsidRPr="00FC4688">
        <w:rPr>
          <w:lang w:val="es-MX"/>
        </w:rPr>
        <w:t>, así como las</w:t>
      </w:r>
      <w:r w:rsidR="00AA5C09" w:rsidRPr="00FC4688">
        <w:rPr>
          <w:lang w:val="es-MX"/>
        </w:rPr>
        <w:t xml:space="preserve"> </w:t>
      </w:r>
      <w:r w:rsidRPr="00FC4688">
        <w:rPr>
          <w:lang w:val="es-MX"/>
        </w:rPr>
        <w:t>principales acciones en materia de ingresos, gasto, transacciones en activos y pasivos y las erogaciones por función del Gobierno</w:t>
      </w:r>
      <w:r w:rsidR="004E3572" w:rsidRPr="00FC4688">
        <w:rPr>
          <w:lang w:val="es-MX"/>
        </w:rPr>
        <w:t xml:space="preserve">. </w:t>
      </w:r>
    </w:p>
    <w:p w14:paraId="166F9829" w14:textId="77777777" w:rsidR="00974B8B" w:rsidRPr="00FC4688" w:rsidRDefault="00974B8B" w:rsidP="00F55D61">
      <w:pPr>
        <w:rPr>
          <w:lang w:val="es-MX"/>
        </w:rPr>
      </w:pPr>
    </w:p>
    <w:p w14:paraId="522D2460" w14:textId="77777777" w:rsidR="0041288C" w:rsidRPr="00FC4688" w:rsidRDefault="004E3572" w:rsidP="00F55D61">
      <w:pPr>
        <w:rPr>
          <w:lang w:val="es-MX"/>
        </w:rPr>
      </w:pPr>
      <w:r w:rsidRPr="00FC4688">
        <w:rPr>
          <w:lang w:val="es-MX"/>
        </w:rPr>
        <w:t xml:space="preserve">Cabe mencionar que dicha información utiliza los </w:t>
      </w:r>
      <w:r w:rsidR="005F2296" w:rsidRPr="00FC4688">
        <w:rPr>
          <w:lang w:val="es-MX"/>
        </w:rPr>
        <w:t>estándares internacionales establecidos en el Manual de Estadísticas de las Finanzas Públicas 2014 -MEFP-</w:t>
      </w:r>
      <w:r w:rsidR="00974B8B" w:rsidRPr="00FC4688">
        <w:rPr>
          <w:lang w:val="es-MX"/>
        </w:rPr>
        <w:t xml:space="preserve"> del Fondo Monetario </w:t>
      </w:r>
      <w:r w:rsidR="00F35956" w:rsidRPr="00FC4688">
        <w:rPr>
          <w:lang w:val="es-MX"/>
        </w:rPr>
        <w:t xml:space="preserve">Internacional </w:t>
      </w:r>
      <w:r w:rsidR="0041288C" w:rsidRPr="00FC4688">
        <w:rPr>
          <w:lang w:val="es-MX"/>
        </w:rPr>
        <w:t>-FMI- por lo que existen diferencias en comparación</w:t>
      </w:r>
      <w:r w:rsidR="00774760" w:rsidRPr="00FC4688">
        <w:rPr>
          <w:lang w:val="es-MX"/>
        </w:rPr>
        <w:t xml:space="preserve"> a las cifras que son publicadas </w:t>
      </w:r>
      <w:r w:rsidR="0041288C" w:rsidRPr="00FC4688">
        <w:rPr>
          <w:lang w:val="es-MX"/>
        </w:rPr>
        <w:t>utiliza</w:t>
      </w:r>
      <w:r w:rsidR="00774760" w:rsidRPr="00FC4688">
        <w:rPr>
          <w:lang w:val="es-MX"/>
        </w:rPr>
        <w:t>ndo</w:t>
      </w:r>
      <w:r w:rsidR="0041288C" w:rsidRPr="00FC4688">
        <w:rPr>
          <w:lang w:val="es-MX"/>
        </w:rPr>
        <w:t xml:space="preserve"> la metodología nacional.</w:t>
      </w:r>
      <w:r w:rsidR="00F8714D" w:rsidRPr="00FC4688">
        <w:rPr>
          <w:lang w:val="es-MX"/>
        </w:rPr>
        <w:t xml:space="preserve"> </w:t>
      </w:r>
      <w:r w:rsidR="003D1490" w:rsidRPr="00FC4688">
        <w:rPr>
          <w:lang w:val="es-MX"/>
        </w:rPr>
        <w:t xml:space="preserve">En caso de cualquier </w:t>
      </w:r>
      <w:r w:rsidR="00FA4254" w:rsidRPr="00FC4688">
        <w:rPr>
          <w:lang w:val="es-MX"/>
        </w:rPr>
        <w:t>duda</w:t>
      </w:r>
      <w:r w:rsidR="00E507D9" w:rsidRPr="00FC4688">
        <w:rPr>
          <w:lang w:val="es-MX"/>
        </w:rPr>
        <w:t xml:space="preserve"> sobre estas diferencias</w:t>
      </w:r>
      <w:r w:rsidR="002710C2" w:rsidRPr="00FC4688">
        <w:rPr>
          <w:lang w:val="es-MX"/>
        </w:rPr>
        <w:t xml:space="preserve">, </w:t>
      </w:r>
      <w:r w:rsidR="00723705" w:rsidRPr="00FC4688">
        <w:rPr>
          <w:lang w:val="es-MX"/>
        </w:rPr>
        <w:t xml:space="preserve">se </w:t>
      </w:r>
      <w:r w:rsidR="002710C2" w:rsidRPr="00FC4688">
        <w:rPr>
          <w:lang w:val="es-MX"/>
        </w:rPr>
        <w:t xml:space="preserve">puede consultar los documentos de </w:t>
      </w:r>
      <w:r w:rsidR="00C139AC" w:rsidRPr="00FC4688">
        <w:rPr>
          <w:lang w:val="es-MX"/>
        </w:rPr>
        <w:t>“</w:t>
      </w:r>
      <w:r w:rsidR="002710C2" w:rsidRPr="00FC4688">
        <w:rPr>
          <w:lang w:val="es-MX"/>
        </w:rPr>
        <w:t>Metodología</w:t>
      </w:r>
      <w:r w:rsidR="00C139AC" w:rsidRPr="00FC4688">
        <w:rPr>
          <w:lang w:val="es-MX"/>
        </w:rPr>
        <w:t>”</w:t>
      </w:r>
      <w:r w:rsidR="002710C2" w:rsidRPr="00FC4688">
        <w:rPr>
          <w:lang w:val="es-MX"/>
        </w:rPr>
        <w:t xml:space="preserve"> y de </w:t>
      </w:r>
      <w:r w:rsidR="00C139AC" w:rsidRPr="00FC4688">
        <w:rPr>
          <w:lang w:val="es-MX"/>
        </w:rPr>
        <w:t xml:space="preserve">“Metadatos” </w:t>
      </w:r>
      <w:r w:rsidR="00F42DC5" w:rsidRPr="00FC4688">
        <w:rPr>
          <w:lang w:val="es-MX"/>
        </w:rPr>
        <w:t xml:space="preserve">que se encuentran publicados en </w:t>
      </w:r>
      <w:r w:rsidR="00C923AF" w:rsidRPr="00FC4688">
        <w:rPr>
          <w:lang w:val="es-MX"/>
        </w:rPr>
        <w:t xml:space="preserve">la </w:t>
      </w:r>
      <w:r w:rsidR="00DB2A3F" w:rsidRPr="00FC4688">
        <w:rPr>
          <w:lang w:val="es-MX"/>
        </w:rPr>
        <w:t>página</w:t>
      </w:r>
      <w:r w:rsidR="00F42DC5" w:rsidRPr="00FC4688">
        <w:rPr>
          <w:lang w:val="es-MX"/>
        </w:rPr>
        <w:t xml:space="preserve"> web</w:t>
      </w:r>
      <w:r w:rsidR="00C923AF" w:rsidRPr="00FC4688">
        <w:rPr>
          <w:lang w:val="es-MX"/>
        </w:rPr>
        <w:t xml:space="preserve"> del Ministerio de Finanzas Públicas</w:t>
      </w:r>
      <w:r w:rsidR="00723705" w:rsidRPr="00FC4688">
        <w:rPr>
          <w:lang w:val="es-MX"/>
        </w:rPr>
        <w:t>,</w:t>
      </w:r>
      <w:r w:rsidR="00C923AF" w:rsidRPr="00FC4688">
        <w:rPr>
          <w:lang w:val="es-MX"/>
        </w:rPr>
        <w:t xml:space="preserve"> en la sección de “Estadísticas según Estándares Internacionales”</w:t>
      </w:r>
      <w:r w:rsidR="00F42DC5" w:rsidRPr="00FC4688">
        <w:rPr>
          <w:lang w:val="es-MX"/>
        </w:rPr>
        <w:t>.</w:t>
      </w:r>
    </w:p>
    <w:p w14:paraId="28D96728" w14:textId="77777777" w:rsidR="002B762F" w:rsidRPr="00FC4688" w:rsidRDefault="002B762F" w:rsidP="00F55D61">
      <w:pPr>
        <w:rPr>
          <w:lang w:val="es-MX"/>
        </w:rPr>
      </w:pPr>
    </w:p>
    <w:p w14:paraId="37573775" w14:textId="77777777" w:rsidR="00E66A98" w:rsidRPr="00FC4688" w:rsidRDefault="00A52F77" w:rsidP="00E66A98">
      <w:pPr>
        <w:pStyle w:val="Prrafodelista"/>
        <w:numPr>
          <w:ilvl w:val="0"/>
          <w:numId w:val="1"/>
        </w:numPr>
        <w:ind w:left="284" w:hanging="284"/>
        <w:outlineLvl w:val="0"/>
        <w:rPr>
          <w:rFonts w:eastAsiaTheme="majorEastAsia" w:cs="Times New Roman"/>
          <w:b/>
          <w:bCs/>
          <w:sz w:val="24"/>
          <w:szCs w:val="26"/>
          <w:lang w:val="es-ES_tradnl" w:eastAsia="es-ES"/>
        </w:rPr>
      </w:pPr>
      <w:bookmarkStart w:id="5" w:name="_Toc133576475"/>
      <w:bookmarkEnd w:id="1"/>
      <w:bookmarkEnd w:id="2"/>
      <w:r w:rsidRPr="00FC4688">
        <w:rPr>
          <w:rFonts w:eastAsiaTheme="majorEastAsia" w:cs="Times New Roman"/>
          <w:b/>
          <w:bCs/>
          <w:sz w:val="24"/>
          <w:szCs w:val="26"/>
          <w:lang w:val="es-ES_tradnl" w:eastAsia="es-ES"/>
        </w:rPr>
        <w:t>Ingresos</w:t>
      </w:r>
      <w:r w:rsidR="00E66A98" w:rsidRPr="00FC4688">
        <w:rPr>
          <w:rFonts w:eastAsiaTheme="majorEastAsia" w:cs="Times New Roman"/>
          <w:b/>
          <w:bCs/>
          <w:sz w:val="24"/>
          <w:szCs w:val="26"/>
          <w:lang w:val="es-ES_tradnl" w:eastAsia="es-ES"/>
        </w:rPr>
        <w:t xml:space="preserve"> </w:t>
      </w:r>
      <w:r w:rsidR="00301F9F" w:rsidRPr="00FC4688">
        <w:rPr>
          <w:rFonts w:eastAsiaTheme="majorEastAsia" w:cs="Times New Roman"/>
          <w:b/>
          <w:bCs/>
          <w:sz w:val="24"/>
          <w:szCs w:val="26"/>
          <w:lang w:val="es-ES_tradnl" w:eastAsia="es-ES"/>
        </w:rPr>
        <w:t>del Gobierno Central Presupuestario</w:t>
      </w:r>
      <w:bookmarkEnd w:id="5"/>
    </w:p>
    <w:p w14:paraId="27F759C0" w14:textId="4E03F058" w:rsidR="00E66A98" w:rsidRPr="00FC4688" w:rsidRDefault="00DB2C33" w:rsidP="002C3755">
      <w:pPr>
        <w:rPr>
          <w:rFonts w:eastAsiaTheme="majorEastAsia"/>
          <w:lang w:val="es-ES_tradnl"/>
        </w:rPr>
      </w:pPr>
      <w:r w:rsidRPr="00FC4688">
        <w:rPr>
          <w:rFonts w:eastAsiaTheme="majorEastAsia"/>
          <w:noProof/>
          <w:lang w:eastAsia="es-GT"/>
        </w:rPr>
        <w:drawing>
          <wp:inline distT="0" distB="0" distL="0" distR="0" wp14:anchorId="2394B235" wp14:editId="3DB1E959">
            <wp:extent cx="5836920" cy="876300"/>
            <wp:effectExtent l="76200" t="38100" r="87630" b="13335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Start w:id="6" w:name="_Toc471986924"/>
      <w:bookmarkStart w:id="7" w:name="_Toc471987059"/>
      <w:bookmarkStart w:id="8" w:name="_Toc471987107"/>
      <w:bookmarkStart w:id="9" w:name="_Toc471987129"/>
      <w:bookmarkStart w:id="10" w:name="_Toc472082158"/>
      <w:bookmarkStart w:id="11" w:name="_Toc472082190"/>
      <w:bookmarkStart w:id="12" w:name="_Toc472089905"/>
      <w:bookmarkStart w:id="13" w:name="_Toc472089928"/>
      <w:bookmarkStart w:id="14" w:name="_Toc505346056"/>
      <w:bookmarkStart w:id="15" w:name="_Toc505349869"/>
      <w:bookmarkStart w:id="16" w:name="_Toc534985827"/>
      <w:bookmarkStart w:id="17" w:name="_Toc534988220"/>
      <w:bookmarkStart w:id="18" w:name="_Toc31611540"/>
      <w:bookmarkStart w:id="19" w:name="_Toc31612756"/>
      <w:bookmarkStart w:id="20" w:name="_Toc31612788"/>
      <w:bookmarkStart w:id="21" w:name="_Toc31614814"/>
      <w:bookmarkStart w:id="22" w:name="_Toc31614846"/>
      <w:bookmarkStart w:id="23" w:name="_Toc31618683"/>
      <w:bookmarkStart w:id="24" w:name="_Toc31618716"/>
      <w:bookmarkStart w:id="25" w:name="_Toc31624492"/>
      <w:bookmarkStart w:id="26" w:name="_Toc31625344"/>
      <w:bookmarkStart w:id="27" w:name="_Toc31626799"/>
      <w:bookmarkStart w:id="28" w:name="_Toc31811250"/>
      <w:bookmarkStart w:id="29" w:name="_Toc31811695"/>
      <w:bookmarkStart w:id="30" w:name="_Toc31971858"/>
      <w:bookmarkStart w:id="31" w:name="_Toc32230880"/>
      <w:bookmarkStart w:id="32" w:name="_Toc33109779"/>
      <w:bookmarkStart w:id="33" w:name="_Toc33109822"/>
      <w:bookmarkStart w:id="34" w:name="_Toc33180543"/>
      <w:bookmarkStart w:id="35" w:name="_Toc33180637"/>
      <w:bookmarkStart w:id="36" w:name="_Toc33193534"/>
      <w:bookmarkStart w:id="37" w:name="_Toc33193573"/>
      <w:bookmarkStart w:id="38" w:name="_Toc33196770"/>
      <w:bookmarkStart w:id="39" w:name="_Toc40691746"/>
      <w:bookmarkStart w:id="40" w:name="_Toc40959149"/>
      <w:bookmarkStart w:id="41" w:name="_Toc40975983"/>
      <w:bookmarkStart w:id="42" w:name="_Toc40976052"/>
      <w:bookmarkStart w:id="43" w:name="_Toc40993307"/>
      <w:bookmarkStart w:id="44" w:name="_Toc40993689"/>
      <w:bookmarkStart w:id="45" w:name="_Toc4103756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573AD0D9" w14:textId="159A2C93" w:rsidR="00E66A98" w:rsidRPr="00FC4688" w:rsidRDefault="00F67E17" w:rsidP="00EB6D9F">
      <w:pPr>
        <w:pStyle w:val="Ttulo2"/>
        <w:numPr>
          <w:ilvl w:val="1"/>
          <w:numId w:val="11"/>
        </w:numPr>
        <w:tabs>
          <w:tab w:val="left" w:pos="426"/>
        </w:tabs>
        <w:spacing w:before="0"/>
        <w:ind w:left="284" w:hanging="284"/>
        <w:rPr>
          <w:rFonts w:ascii="Times New Roman" w:hAnsi="Times New Roman" w:cs="Times New Roman"/>
          <w:color w:val="auto"/>
          <w:sz w:val="24"/>
        </w:rPr>
      </w:pPr>
      <w:bookmarkStart w:id="46" w:name="_Toc133576476"/>
      <w:r>
        <w:rPr>
          <w:rFonts w:ascii="Times New Roman" w:hAnsi="Times New Roman" w:cs="Times New Roman"/>
          <w:color w:val="auto"/>
          <w:sz w:val="24"/>
        </w:rPr>
        <w:t>Inicia el año con un buen</w:t>
      </w:r>
      <w:r w:rsidR="004D09F5">
        <w:rPr>
          <w:rFonts w:ascii="Times New Roman" w:hAnsi="Times New Roman" w:cs="Times New Roman"/>
          <w:color w:val="auto"/>
          <w:sz w:val="24"/>
        </w:rPr>
        <w:t xml:space="preserve"> dinamismo en los</w:t>
      </w:r>
      <w:r w:rsidR="00606599">
        <w:rPr>
          <w:rFonts w:ascii="Times New Roman" w:hAnsi="Times New Roman" w:cs="Times New Roman"/>
          <w:color w:val="auto"/>
          <w:sz w:val="24"/>
        </w:rPr>
        <w:t xml:space="preserve"> ingresos </w:t>
      </w:r>
      <w:r w:rsidR="004D09F5">
        <w:rPr>
          <w:rFonts w:ascii="Times New Roman" w:hAnsi="Times New Roman" w:cs="Times New Roman"/>
          <w:color w:val="auto"/>
          <w:sz w:val="24"/>
        </w:rPr>
        <w:t>fiscales</w:t>
      </w:r>
      <w:bookmarkEnd w:id="46"/>
      <w:r w:rsidR="004D09F5">
        <w:rPr>
          <w:rFonts w:ascii="Times New Roman" w:hAnsi="Times New Roman" w:cs="Times New Roman"/>
          <w:color w:val="auto"/>
          <w:sz w:val="24"/>
        </w:rPr>
        <w:t xml:space="preserve"> </w:t>
      </w:r>
    </w:p>
    <w:p w14:paraId="2D047FDC" w14:textId="3787DB26" w:rsidR="004A5B1A" w:rsidRDefault="007C1C58" w:rsidP="00960F3C">
      <w:pPr>
        <w:rPr>
          <w:rFonts w:cs="Times New Roman"/>
          <w:szCs w:val="22"/>
        </w:rPr>
      </w:pPr>
      <w:r w:rsidRPr="00FC4688">
        <w:rPr>
          <w:rFonts w:cs="Times New Roman"/>
          <w:noProof/>
          <w:sz w:val="24"/>
          <w:lang w:eastAsia="es-GT"/>
        </w:rPr>
        <w:drawing>
          <wp:anchor distT="0" distB="0" distL="114300" distR="114300" simplePos="0" relativeHeight="251660292" behindDoc="0" locked="0" layoutInCell="1" allowOverlap="1" wp14:anchorId="0E488811" wp14:editId="65ABD1E4">
            <wp:simplePos x="0" y="0"/>
            <wp:positionH relativeFrom="margin">
              <wp:posOffset>3336925</wp:posOffset>
            </wp:positionH>
            <wp:positionV relativeFrom="paragraph">
              <wp:posOffset>8255</wp:posOffset>
            </wp:positionV>
            <wp:extent cx="2632710" cy="2503805"/>
            <wp:effectExtent l="0" t="0" r="0" b="0"/>
            <wp:wrapSquare wrapText="bothSides"/>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247865">
        <w:rPr>
          <w:rFonts w:cs="Times New Roman"/>
          <w:szCs w:val="22"/>
        </w:rPr>
        <w:t xml:space="preserve">Los ingresos totales </w:t>
      </w:r>
      <w:r w:rsidR="00247865" w:rsidRPr="00047106">
        <w:rPr>
          <w:rFonts w:cs="Times New Roman"/>
          <w:szCs w:val="22"/>
        </w:rPr>
        <w:t xml:space="preserve">del Gobierno Central Presupuestario </w:t>
      </w:r>
      <w:r w:rsidR="00247865">
        <w:rPr>
          <w:rFonts w:cs="Times New Roman"/>
          <w:szCs w:val="22"/>
        </w:rPr>
        <w:t>correspondientes al primer trimestre</w:t>
      </w:r>
      <w:r w:rsidR="00247865" w:rsidRPr="00047106">
        <w:rPr>
          <w:rFonts w:cs="Times New Roman"/>
          <w:szCs w:val="22"/>
        </w:rPr>
        <w:t xml:space="preserve"> </w:t>
      </w:r>
      <w:r w:rsidR="00247865">
        <w:rPr>
          <w:rFonts w:cs="Times New Roman"/>
          <w:szCs w:val="22"/>
        </w:rPr>
        <w:t xml:space="preserve">de </w:t>
      </w:r>
      <w:r w:rsidR="00A50731">
        <w:rPr>
          <w:rFonts w:cs="Times New Roman"/>
          <w:szCs w:val="22"/>
        </w:rPr>
        <w:t>2023</w:t>
      </w:r>
      <w:r w:rsidR="00247865">
        <w:rPr>
          <w:rFonts w:cs="Times New Roman"/>
          <w:szCs w:val="22"/>
        </w:rPr>
        <w:t xml:space="preserve"> </w:t>
      </w:r>
      <w:r w:rsidR="00247865" w:rsidRPr="00047106">
        <w:rPr>
          <w:rFonts w:cs="Times New Roman"/>
          <w:szCs w:val="22"/>
        </w:rPr>
        <w:t>se sit</w:t>
      </w:r>
      <w:r w:rsidR="00247865" w:rsidRPr="00165874">
        <w:rPr>
          <w:rFonts w:cs="Times New Roman"/>
          <w:szCs w:val="22"/>
        </w:rPr>
        <w:t>úan en Q24,911.1</w:t>
      </w:r>
      <w:r w:rsidR="00247865" w:rsidRPr="00047106">
        <w:rPr>
          <w:rFonts w:cs="Times New Roman"/>
          <w:szCs w:val="22"/>
        </w:rPr>
        <w:t xml:space="preserve"> millones</w:t>
      </w:r>
      <w:r w:rsidR="00247865">
        <w:rPr>
          <w:rFonts w:cs="Times New Roman"/>
          <w:szCs w:val="22"/>
        </w:rPr>
        <w:t>, que</w:t>
      </w:r>
      <w:r w:rsidR="00247865" w:rsidRPr="00047106">
        <w:rPr>
          <w:rFonts w:cs="Times New Roman"/>
          <w:szCs w:val="22"/>
        </w:rPr>
        <w:t xml:space="preserve"> equivale a un crecimiento del 1</w:t>
      </w:r>
      <w:r w:rsidR="00247865">
        <w:rPr>
          <w:rFonts w:cs="Times New Roman"/>
          <w:szCs w:val="22"/>
        </w:rPr>
        <w:t>1</w:t>
      </w:r>
      <w:r w:rsidR="00247865" w:rsidRPr="00047106">
        <w:rPr>
          <w:rFonts w:cs="Times New Roman"/>
          <w:szCs w:val="22"/>
        </w:rPr>
        <w:t>.9% (Q</w:t>
      </w:r>
      <w:r w:rsidR="00247865">
        <w:rPr>
          <w:rFonts w:cs="Times New Roman"/>
          <w:szCs w:val="22"/>
        </w:rPr>
        <w:t>2,643.1</w:t>
      </w:r>
      <w:r w:rsidR="00247865" w:rsidRPr="00047106">
        <w:rPr>
          <w:rFonts w:cs="Times New Roman"/>
          <w:szCs w:val="22"/>
        </w:rPr>
        <w:t xml:space="preserve"> millones) respecto al mismo período del año anterior, </w:t>
      </w:r>
      <w:r w:rsidR="00247865">
        <w:rPr>
          <w:rFonts w:cs="Times New Roman"/>
          <w:szCs w:val="22"/>
        </w:rPr>
        <w:t xml:space="preserve">lo cual refleja </w:t>
      </w:r>
      <w:r w:rsidR="00C442F2">
        <w:rPr>
          <w:rFonts w:cs="Times New Roman"/>
          <w:szCs w:val="22"/>
        </w:rPr>
        <w:t>un inicio de año con</w:t>
      </w:r>
      <w:r w:rsidR="00247865">
        <w:rPr>
          <w:rFonts w:cs="Times New Roman"/>
          <w:szCs w:val="22"/>
        </w:rPr>
        <w:t xml:space="preserve"> </w:t>
      </w:r>
      <w:r w:rsidR="00247865" w:rsidRPr="00047106">
        <w:rPr>
          <w:rFonts w:cs="Times New Roman"/>
          <w:szCs w:val="22"/>
        </w:rPr>
        <w:t>buen dinamismo</w:t>
      </w:r>
      <w:r w:rsidR="004C202D">
        <w:rPr>
          <w:rFonts w:cs="Times New Roman"/>
          <w:szCs w:val="22"/>
        </w:rPr>
        <w:t xml:space="preserve"> en el nivel de ingresos</w:t>
      </w:r>
      <w:r w:rsidR="000F794A">
        <w:rPr>
          <w:rFonts w:cs="Times New Roman"/>
          <w:szCs w:val="22"/>
        </w:rPr>
        <w:t xml:space="preserve">, manteniendo </w:t>
      </w:r>
      <w:r w:rsidR="00247865">
        <w:rPr>
          <w:rFonts w:cs="Times New Roman"/>
          <w:szCs w:val="22"/>
        </w:rPr>
        <w:t xml:space="preserve">con </w:t>
      </w:r>
      <w:r w:rsidR="000F794A">
        <w:rPr>
          <w:rFonts w:cs="Times New Roman"/>
          <w:szCs w:val="22"/>
        </w:rPr>
        <w:t xml:space="preserve">ello </w:t>
      </w:r>
      <w:r w:rsidR="004C202D">
        <w:rPr>
          <w:rFonts w:cs="Times New Roman"/>
          <w:szCs w:val="22"/>
        </w:rPr>
        <w:t>el comportamiento</w:t>
      </w:r>
      <w:r w:rsidR="00247865">
        <w:rPr>
          <w:rFonts w:cs="Times New Roman"/>
          <w:szCs w:val="22"/>
        </w:rPr>
        <w:t xml:space="preserve"> </w:t>
      </w:r>
      <w:r w:rsidR="00247865" w:rsidRPr="00047106">
        <w:rPr>
          <w:rFonts w:cs="Times New Roman"/>
          <w:szCs w:val="22"/>
        </w:rPr>
        <w:t xml:space="preserve">observado </w:t>
      </w:r>
      <w:r w:rsidR="000F794A">
        <w:rPr>
          <w:rFonts w:cs="Times New Roman"/>
          <w:szCs w:val="22"/>
        </w:rPr>
        <w:t>d</w:t>
      </w:r>
      <w:r w:rsidR="00247865">
        <w:rPr>
          <w:rFonts w:cs="Times New Roman"/>
          <w:szCs w:val="22"/>
        </w:rPr>
        <w:t xml:space="preserve">el </w:t>
      </w:r>
      <w:r w:rsidR="00247865" w:rsidRPr="00047106">
        <w:rPr>
          <w:rFonts w:cs="Times New Roman"/>
          <w:szCs w:val="22"/>
        </w:rPr>
        <w:t>año</w:t>
      </w:r>
      <w:r w:rsidR="00247865">
        <w:rPr>
          <w:rFonts w:cs="Times New Roman"/>
          <w:szCs w:val="22"/>
        </w:rPr>
        <w:t xml:space="preserve"> anterior</w:t>
      </w:r>
      <w:r w:rsidR="00C442F2">
        <w:rPr>
          <w:rFonts w:cs="Times New Roman"/>
          <w:szCs w:val="22"/>
        </w:rPr>
        <w:t>.</w:t>
      </w:r>
    </w:p>
    <w:p w14:paraId="43746041" w14:textId="77777777" w:rsidR="008E0F24" w:rsidRDefault="008E0F24" w:rsidP="00960F3C">
      <w:pPr>
        <w:rPr>
          <w:rFonts w:cs="Times New Roman"/>
          <w:szCs w:val="22"/>
        </w:rPr>
      </w:pPr>
    </w:p>
    <w:p w14:paraId="4463776A" w14:textId="71EF079C" w:rsidR="008E0F24" w:rsidRDefault="008E0F24" w:rsidP="008E0F24">
      <w:pPr>
        <w:rPr>
          <w:rFonts w:cs="Times New Roman"/>
          <w:szCs w:val="22"/>
        </w:rPr>
      </w:pPr>
      <w:r>
        <w:rPr>
          <w:rFonts w:cs="Times New Roman"/>
          <w:szCs w:val="22"/>
        </w:rPr>
        <w:t>Dentro de los ingresos</w:t>
      </w:r>
      <w:r w:rsidR="00C442F2">
        <w:rPr>
          <w:rFonts w:cs="Times New Roman"/>
          <w:szCs w:val="22"/>
        </w:rPr>
        <w:t>,</w:t>
      </w:r>
      <w:r>
        <w:rPr>
          <w:rFonts w:cs="Times New Roman"/>
          <w:szCs w:val="22"/>
        </w:rPr>
        <w:t xml:space="preserve"> el mayor crecimiento interanual lo presenta</w:t>
      </w:r>
      <w:r w:rsidR="00C442F2" w:rsidRPr="00C442F2">
        <w:rPr>
          <w:rFonts w:cs="Times New Roman"/>
          <w:szCs w:val="22"/>
        </w:rPr>
        <w:t xml:space="preserve"> </w:t>
      </w:r>
      <w:r w:rsidR="00C442F2">
        <w:rPr>
          <w:rFonts w:cs="Times New Roman"/>
          <w:szCs w:val="22"/>
        </w:rPr>
        <w:t>los impuestos mostrando un crecimiento de 11.2% (Q2,288.6 millones)</w:t>
      </w:r>
      <w:r>
        <w:rPr>
          <w:rFonts w:cs="Times New Roman"/>
          <w:szCs w:val="22"/>
        </w:rPr>
        <w:t xml:space="preserve"> </w:t>
      </w:r>
      <w:r w:rsidR="00C442F2">
        <w:rPr>
          <w:rFonts w:cs="Times New Roman"/>
          <w:szCs w:val="22"/>
        </w:rPr>
        <w:t xml:space="preserve">seguido de la categoría </w:t>
      </w:r>
      <w:r w:rsidR="00F67E17">
        <w:rPr>
          <w:rFonts w:cs="Times New Roman"/>
          <w:szCs w:val="22"/>
        </w:rPr>
        <w:t>de otros</w:t>
      </w:r>
      <w:r>
        <w:rPr>
          <w:rFonts w:cs="Times New Roman"/>
          <w:szCs w:val="22"/>
        </w:rPr>
        <w:t xml:space="preserve"> ingresos con</w:t>
      </w:r>
      <w:r w:rsidR="00C442F2">
        <w:rPr>
          <w:rFonts w:cs="Times New Roman"/>
          <w:szCs w:val="22"/>
        </w:rPr>
        <w:t xml:space="preserve"> una variación interanual de </w:t>
      </w:r>
      <w:r>
        <w:rPr>
          <w:rFonts w:cs="Times New Roman"/>
          <w:szCs w:val="22"/>
        </w:rPr>
        <w:t>26.9% (Q177.6 millones)</w:t>
      </w:r>
      <w:r w:rsidR="00C442F2">
        <w:rPr>
          <w:rFonts w:cs="Times New Roman"/>
          <w:szCs w:val="22"/>
        </w:rPr>
        <w:t>,</w:t>
      </w:r>
      <w:r>
        <w:rPr>
          <w:rFonts w:cs="Times New Roman"/>
          <w:szCs w:val="22"/>
        </w:rPr>
        <w:t xml:space="preserve"> las contribuciones sociales con </w:t>
      </w:r>
      <w:r w:rsidR="00C442F2">
        <w:rPr>
          <w:rFonts w:cs="Times New Roman"/>
          <w:szCs w:val="22"/>
        </w:rPr>
        <w:t>aumento</w:t>
      </w:r>
      <w:r>
        <w:rPr>
          <w:rFonts w:cs="Times New Roman"/>
          <w:szCs w:val="22"/>
        </w:rPr>
        <w:t xml:space="preserve"> de</w:t>
      </w:r>
      <w:r w:rsidR="00C442F2">
        <w:rPr>
          <w:rFonts w:cs="Times New Roman"/>
          <w:szCs w:val="22"/>
        </w:rPr>
        <w:t>l</w:t>
      </w:r>
      <w:r>
        <w:rPr>
          <w:rFonts w:cs="Times New Roman"/>
          <w:szCs w:val="22"/>
        </w:rPr>
        <w:t xml:space="preserve"> 15.2% (Q177.3 millones)</w:t>
      </w:r>
      <w:r w:rsidR="00C442F2">
        <w:rPr>
          <w:rFonts w:cs="Times New Roman"/>
          <w:szCs w:val="22"/>
        </w:rPr>
        <w:t xml:space="preserve"> </w:t>
      </w:r>
      <w:r>
        <w:rPr>
          <w:rFonts w:cs="Times New Roman"/>
          <w:szCs w:val="22"/>
        </w:rPr>
        <w:t>y</w:t>
      </w:r>
      <w:r w:rsidR="00C442F2">
        <w:rPr>
          <w:rFonts w:cs="Times New Roman"/>
          <w:szCs w:val="22"/>
        </w:rPr>
        <w:t>,</w:t>
      </w:r>
      <w:r>
        <w:rPr>
          <w:rFonts w:cs="Times New Roman"/>
          <w:szCs w:val="22"/>
        </w:rPr>
        <w:t xml:space="preserve"> por su parte, las donaciones</w:t>
      </w:r>
      <w:r w:rsidR="00C442F2">
        <w:rPr>
          <w:rFonts w:cs="Times New Roman"/>
          <w:szCs w:val="22"/>
        </w:rPr>
        <w:t xml:space="preserve"> han sido las únicas en</w:t>
      </w:r>
      <w:r>
        <w:rPr>
          <w:rFonts w:cs="Times New Roman"/>
          <w:szCs w:val="22"/>
        </w:rPr>
        <w:t xml:space="preserve"> mostrar</w:t>
      </w:r>
      <w:r w:rsidR="00C442F2">
        <w:rPr>
          <w:rFonts w:cs="Times New Roman"/>
          <w:szCs w:val="22"/>
        </w:rPr>
        <w:t xml:space="preserve"> una </w:t>
      </w:r>
      <w:r>
        <w:rPr>
          <w:rFonts w:cs="Times New Roman"/>
          <w:szCs w:val="22"/>
        </w:rPr>
        <w:t>disminución</w:t>
      </w:r>
      <w:r w:rsidR="0042467B">
        <w:rPr>
          <w:rFonts w:cs="Times New Roman"/>
          <w:szCs w:val="22"/>
        </w:rPr>
        <w:t>,</w:t>
      </w:r>
      <w:r>
        <w:rPr>
          <w:rFonts w:cs="Times New Roman"/>
          <w:szCs w:val="22"/>
        </w:rPr>
        <w:t xml:space="preserve"> </w:t>
      </w:r>
      <w:r w:rsidR="00C442F2">
        <w:rPr>
          <w:rFonts w:cs="Times New Roman"/>
          <w:szCs w:val="22"/>
        </w:rPr>
        <w:t>siendo esta del</w:t>
      </w:r>
      <w:r>
        <w:rPr>
          <w:rFonts w:cs="Times New Roman"/>
          <w:szCs w:val="22"/>
        </w:rPr>
        <w:t xml:space="preserve"> 7.9% (Q0.3 millones)</w:t>
      </w:r>
      <w:r w:rsidRPr="00DB556E">
        <w:rPr>
          <w:rFonts w:cs="Times New Roman"/>
          <w:szCs w:val="22"/>
        </w:rPr>
        <w:t>.</w:t>
      </w:r>
    </w:p>
    <w:p w14:paraId="3C8D73F7" w14:textId="79C508A9" w:rsidR="00D550B4" w:rsidRPr="00FC4688" w:rsidRDefault="00D550B4" w:rsidP="000245CA">
      <w:pPr>
        <w:rPr>
          <w:rFonts w:cs="Times New Roman"/>
          <w:szCs w:val="22"/>
        </w:rPr>
      </w:pPr>
      <w:r w:rsidRPr="00FC4688">
        <w:rPr>
          <w:noProof/>
          <w:lang w:eastAsia="es-GT"/>
        </w:rPr>
        <w:drawing>
          <wp:inline distT="0" distB="0" distL="0" distR="0" wp14:anchorId="0B894B39" wp14:editId="170B3856">
            <wp:extent cx="5971540" cy="1711234"/>
            <wp:effectExtent l="0" t="0" r="0" b="381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A69E6E" w14:textId="77777777" w:rsidR="00D550B4" w:rsidRPr="00FC4688" w:rsidRDefault="00D550B4" w:rsidP="00672DC7">
      <w:pPr>
        <w:pStyle w:val="Prrafodelista"/>
        <w:ind w:left="0"/>
        <w:jc w:val="right"/>
      </w:pPr>
      <w:r w:rsidRPr="00FC4688">
        <w:t>*Cifras preliminares</w:t>
      </w:r>
    </w:p>
    <w:p w14:paraId="28189151" w14:textId="7E747C45" w:rsidR="00D550B4" w:rsidRPr="00FC4688" w:rsidRDefault="00D550B4" w:rsidP="00672DC7">
      <w:pPr>
        <w:pStyle w:val="Prrafodelista"/>
        <w:ind w:left="0"/>
        <w:jc w:val="right"/>
      </w:pPr>
      <w:r w:rsidRPr="00FC4688">
        <w:t xml:space="preserve"> Fuente: MINFIN</w:t>
      </w:r>
    </w:p>
    <w:p w14:paraId="7B785F6C" w14:textId="66990F34" w:rsidR="002E7740" w:rsidRPr="00FC4688" w:rsidRDefault="004D09F5" w:rsidP="002E7740">
      <w:pPr>
        <w:pStyle w:val="Ttulo2"/>
        <w:numPr>
          <w:ilvl w:val="1"/>
          <w:numId w:val="11"/>
        </w:numPr>
        <w:tabs>
          <w:tab w:val="left" w:pos="426"/>
        </w:tabs>
        <w:spacing w:before="0"/>
        <w:ind w:left="284" w:hanging="284"/>
        <w:rPr>
          <w:rFonts w:ascii="Times New Roman" w:hAnsi="Times New Roman" w:cs="Times New Roman"/>
          <w:color w:val="auto"/>
          <w:sz w:val="24"/>
        </w:rPr>
      </w:pPr>
      <w:bookmarkStart w:id="47" w:name="_Toc133576477"/>
      <w:r>
        <w:rPr>
          <w:rFonts w:ascii="Times New Roman" w:hAnsi="Times New Roman" w:cs="Times New Roman"/>
          <w:color w:val="auto"/>
          <w:sz w:val="24"/>
        </w:rPr>
        <w:lastRenderedPageBreak/>
        <w:t xml:space="preserve">La recaudación </w:t>
      </w:r>
      <w:r w:rsidR="004C202D">
        <w:rPr>
          <w:rFonts w:ascii="Times New Roman" w:hAnsi="Times New Roman" w:cs="Times New Roman"/>
          <w:color w:val="auto"/>
          <w:sz w:val="24"/>
        </w:rPr>
        <w:t xml:space="preserve">refleja </w:t>
      </w:r>
      <w:r w:rsidR="00F67E17">
        <w:rPr>
          <w:rFonts w:ascii="Times New Roman" w:hAnsi="Times New Roman" w:cs="Times New Roman"/>
          <w:color w:val="auto"/>
          <w:sz w:val="24"/>
        </w:rPr>
        <w:t>crecimiento</w:t>
      </w:r>
      <w:bookmarkEnd w:id="47"/>
    </w:p>
    <w:p w14:paraId="4A009E88" w14:textId="7A03DE75" w:rsidR="00D04A8B" w:rsidRPr="00FC4688" w:rsidRDefault="00CF52A7" w:rsidP="00D04A8B">
      <w:r w:rsidRPr="00FC4688">
        <w:rPr>
          <w:noProof/>
          <w:lang w:eastAsia="es-GT"/>
        </w:rPr>
        <w:drawing>
          <wp:anchor distT="0" distB="0" distL="114300" distR="114300" simplePos="0" relativeHeight="251665412" behindDoc="0" locked="0" layoutInCell="1" allowOverlap="1" wp14:anchorId="1026A945" wp14:editId="5A5951BB">
            <wp:simplePos x="0" y="0"/>
            <wp:positionH relativeFrom="margin">
              <wp:posOffset>3098165</wp:posOffset>
            </wp:positionH>
            <wp:positionV relativeFrom="paragraph">
              <wp:posOffset>7620</wp:posOffset>
            </wp:positionV>
            <wp:extent cx="2875280" cy="7560310"/>
            <wp:effectExtent l="0" t="0" r="1270" b="2540"/>
            <wp:wrapSquare wrapText="bothSides"/>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D04A8B">
        <w:t>L</w:t>
      </w:r>
      <w:r w:rsidR="00D04A8B" w:rsidRPr="00047106">
        <w:t xml:space="preserve">os ingresos percibidos por impuestos </w:t>
      </w:r>
      <w:r w:rsidR="00D04A8B">
        <w:t xml:space="preserve">al mes de marzo </w:t>
      </w:r>
      <w:r w:rsidR="00D04A8B" w:rsidRPr="00047106">
        <w:t>ascienden a Q</w:t>
      </w:r>
      <w:r w:rsidR="00D04A8B">
        <w:t>22,724.6</w:t>
      </w:r>
      <w:r w:rsidR="00D04A8B" w:rsidRPr="00047106">
        <w:t xml:space="preserve"> millones, </w:t>
      </w:r>
      <w:r w:rsidR="00D04A8B">
        <w:t xml:space="preserve">mostrando </w:t>
      </w:r>
      <w:r w:rsidR="00D04A8B" w:rsidRPr="00047106">
        <w:t xml:space="preserve">un incremento interanual del </w:t>
      </w:r>
      <w:r w:rsidR="00D04A8B">
        <w:t>11.2%</w:t>
      </w:r>
      <w:r w:rsidR="00D04A8B" w:rsidRPr="00047106">
        <w:t xml:space="preserve"> (Q</w:t>
      </w:r>
      <w:r w:rsidR="00D04A8B">
        <w:t>2,288.6</w:t>
      </w:r>
      <w:r w:rsidR="00D04A8B" w:rsidRPr="00047106">
        <w:t xml:space="preserve"> millones)</w:t>
      </w:r>
      <w:r w:rsidR="00D04A8B">
        <w:t xml:space="preserve"> respecto al mismo periodo del año previo.</w:t>
      </w:r>
      <w:r w:rsidR="00D04A8B" w:rsidRPr="00047106">
        <w:t xml:space="preserve"> Los impuestos que </w:t>
      </w:r>
      <w:r w:rsidR="00D04A8B">
        <w:t xml:space="preserve">presentaron </w:t>
      </w:r>
      <w:r w:rsidR="00D04A8B" w:rsidRPr="00047106">
        <w:t xml:space="preserve">mayor crecimiento </w:t>
      </w:r>
      <w:r w:rsidR="00D04A8B">
        <w:t xml:space="preserve">fueron </w:t>
      </w:r>
      <w:r w:rsidR="00D04A8B" w:rsidRPr="00047106">
        <w:t>los</w:t>
      </w:r>
      <w:r w:rsidR="00D04A8B">
        <w:t xml:space="preserve"> impuestos sobre el ingreso, las utilidades y las ganancias de capital, situándose en Q8,625.3 millones con </w:t>
      </w:r>
      <w:r w:rsidR="00C442F2">
        <w:t xml:space="preserve">una </w:t>
      </w:r>
      <w:r w:rsidR="00D04A8B">
        <w:t>variación de</w:t>
      </w:r>
      <w:r w:rsidR="00C442F2">
        <w:t>l</w:t>
      </w:r>
      <w:r w:rsidR="00D04A8B">
        <w:t xml:space="preserve"> 16.0% (Q1,191.9 millones</w:t>
      </w:r>
      <w:r w:rsidR="00D04A8B" w:rsidRPr="00296063">
        <w:t>). Cabe mencionar que, dentro de esta categoría, los impuestos a sociedades y otras empresas presentan un crecimiento por 16.8% (Q1,089.5 millones) en tanto los asociados a las personas físicas aumentaron en 10.8% (Q</w:t>
      </w:r>
      <w:r w:rsidR="00C442F2">
        <w:t>1</w:t>
      </w:r>
      <w:r w:rsidR="00D04A8B" w:rsidRPr="00296063">
        <w:t>0</w:t>
      </w:r>
      <w:r w:rsidR="00C442F2">
        <w:t>2</w:t>
      </w:r>
      <w:r w:rsidR="00D04A8B" w:rsidRPr="00296063">
        <w:t>.</w:t>
      </w:r>
      <w:r w:rsidR="00C442F2">
        <w:t>4</w:t>
      </w:r>
      <w:r w:rsidR="00D04A8B" w:rsidRPr="00296063">
        <w:t xml:space="preserve"> millones).</w:t>
      </w:r>
    </w:p>
    <w:p w14:paraId="14CEAA9D" w14:textId="77777777" w:rsidR="00D04A8B" w:rsidRDefault="00D04A8B" w:rsidP="00D04A8B">
      <w:pPr>
        <w:pStyle w:val="Prrafodelista"/>
        <w:ind w:left="0"/>
        <w:rPr>
          <w:sz w:val="22"/>
        </w:rPr>
      </w:pPr>
    </w:p>
    <w:p w14:paraId="57740F64" w14:textId="249D5760" w:rsidR="00D04A8B" w:rsidRPr="00AB3838" w:rsidRDefault="00D04A8B" w:rsidP="00D04A8B">
      <w:pPr>
        <w:pStyle w:val="Prrafodelista"/>
        <w:ind w:left="0"/>
        <w:rPr>
          <w:sz w:val="22"/>
        </w:rPr>
      </w:pPr>
      <w:r w:rsidRPr="00AB3838">
        <w:rPr>
          <w:sz w:val="22"/>
        </w:rPr>
        <w:t>Por otro lado, los impuestos sobre los bienes y servicios se situaron en Q12,958.0 millones, con un incremento de 9.0% (Q1,070.1</w:t>
      </w:r>
      <w:r w:rsidR="00E63CB5">
        <w:rPr>
          <w:sz w:val="22"/>
        </w:rPr>
        <w:t xml:space="preserve"> </w:t>
      </w:r>
      <w:r w:rsidRPr="00AB3838">
        <w:rPr>
          <w:sz w:val="22"/>
        </w:rPr>
        <w:t xml:space="preserve">millones). En esta categoría se incluye el Impuesto al Valor Agregado, cuya participación se hace relevante al mostrar </w:t>
      </w:r>
      <w:r w:rsidR="00E63CB5">
        <w:rPr>
          <w:sz w:val="22"/>
        </w:rPr>
        <w:t xml:space="preserve">una recaudación acumulada </w:t>
      </w:r>
      <w:r w:rsidRPr="00AB3838">
        <w:rPr>
          <w:sz w:val="22"/>
        </w:rPr>
        <w:t>de Q10,790.2 millones</w:t>
      </w:r>
      <w:r w:rsidR="0042467B">
        <w:rPr>
          <w:sz w:val="22"/>
        </w:rPr>
        <w:t xml:space="preserve"> y mostrando </w:t>
      </w:r>
      <w:r w:rsidR="00E63CB5">
        <w:rPr>
          <w:sz w:val="22"/>
        </w:rPr>
        <w:t>un</w:t>
      </w:r>
      <w:r w:rsidR="0042467B">
        <w:rPr>
          <w:sz w:val="22"/>
        </w:rPr>
        <w:t xml:space="preserve">a tasa de </w:t>
      </w:r>
      <w:r w:rsidR="0042467B" w:rsidRPr="00AB3838">
        <w:rPr>
          <w:sz w:val="22"/>
        </w:rPr>
        <w:t>crecimiento</w:t>
      </w:r>
      <w:r w:rsidRPr="00AB3838">
        <w:rPr>
          <w:sz w:val="22"/>
        </w:rPr>
        <w:t xml:space="preserve"> de</w:t>
      </w:r>
      <w:r w:rsidR="0042467B">
        <w:rPr>
          <w:sz w:val="22"/>
        </w:rPr>
        <w:t>l</w:t>
      </w:r>
      <w:r w:rsidRPr="00AB3838">
        <w:rPr>
          <w:sz w:val="22"/>
        </w:rPr>
        <w:t xml:space="preserve"> 9</w:t>
      </w:r>
      <w:r w:rsidR="004E6483">
        <w:rPr>
          <w:sz w:val="22"/>
        </w:rPr>
        <w:t>.0</w:t>
      </w:r>
      <w:r w:rsidRPr="00AB3838">
        <w:rPr>
          <w:sz w:val="22"/>
        </w:rPr>
        <w:t>% (Q893.2 millones).</w:t>
      </w:r>
    </w:p>
    <w:p w14:paraId="1A7F5EAD" w14:textId="77777777" w:rsidR="00D04A8B" w:rsidRPr="00FC4688" w:rsidRDefault="00D04A8B" w:rsidP="00D04A8B"/>
    <w:p w14:paraId="5A13B8C1" w14:textId="00DD2BBA" w:rsidR="00E63CB5" w:rsidRDefault="00E63CB5" w:rsidP="00D04A8B">
      <w:r>
        <w:t>En cuanto a</w:t>
      </w:r>
      <w:r w:rsidR="00D04A8B">
        <w:t xml:space="preserve"> l</w:t>
      </w:r>
      <w:r w:rsidR="00D04A8B" w:rsidRPr="00FC4688">
        <w:t xml:space="preserve">os impuestos </w:t>
      </w:r>
      <w:r w:rsidR="00D04A8B">
        <w:t>aplicados al</w:t>
      </w:r>
      <w:r w:rsidR="00D04A8B" w:rsidRPr="00FC4688">
        <w:t xml:space="preserve"> comercio y las transacciones internacionales se </w:t>
      </w:r>
      <w:r w:rsidR="00D04A8B">
        <w:t>situaron</w:t>
      </w:r>
      <w:r w:rsidR="00D04A8B" w:rsidRPr="00FC4688">
        <w:t xml:space="preserve"> en Q</w:t>
      </w:r>
      <w:r w:rsidR="00D04A8B">
        <w:t xml:space="preserve">985.0 millones, que representa </w:t>
      </w:r>
      <w:r w:rsidR="000F794A">
        <w:t>incremento</w:t>
      </w:r>
      <w:r w:rsidR="00D04A8B">
        <w:t xml:space="preserve"> de 2.9</w:t>
      </w:r>
      <w:r w:rsidR="00D04A8B" w:rsidRPr="00FC4688">
        <w:t>% (Q</w:t>
      </w:r>
      <w:r w:rsidR="00D04A8B">
        <w:t>27.8</w:t>
      </w:r>
      <w:r w:rsidR="00D04A8B" w:rsidRPr="00FC4688">
        <w:t xml:space="preserve"> millones)</w:t>
      </w:r>
      <w:r>
        <w:t xml:space="preserve">. </w:t>
      </w:r>
    </w:p>
    <w:p w14:paraId="4175D732" w14:textId="77777777" w:rsidR="00E63CB5" w:rsidRDefault="00E63CB5" w:rsidP="00D04A8B"/>
    <w:p w14:paraId="51688FA0" w14:textId="77777777" w:rsidR="00F67E17" w:rsidRDefault="00E63CB5" w:rsidP="00D04A8B">
      <w:r>
        <w:t xml:space="preserve">La </w:t>
      </w:r>
      <w:r w:rsidR="00D04A8B">
        <w:t>categoría</w:t>
      </w:r>
      <w:r w:rsidR="00D04A8B" w:rsidRPr="00FC4688">
        <w:t xml:space="preserve"> de otros impuestos</w:t>
      </w:r>
      <w:r>
        <w:t xml:space="preserve"> tuvo una</w:t>
      </w:r>
      <w:r w:rsidR="00D04A8B">
        <w:t xml:space="preserve"> recaudación de Q148.8</w:t>
      </w:r>
      <w:r w:rsidR="00D04A8B" w:rsidRPr="00FC4688">
        <w:t xml:space="preserve"> millone</w:t>
      </w:r>
      <w:r w:rsidR="00D04A8B">
        <w:t>s, presentando una variación de 1.4</w:t>
      </w:r>
      <w:r w:rsidR="00D04A8B" w:rsidRPr="00FC4688">
        <w:t>% (Q</w:t>
      </w:r>
      <w:r w:rsidR="00D04A8B">
        <w:t>2.1</w:t>
      </w:r>
      <w:r w:rsidR="00D04A8B" w:rsidRPr="00FC4688">
        <w:t xml:space="preserve"> millones)</w:t>
      </w:r>
      <w:r w:rsidR="00D53B2A">
        <w:t xml:space="preserve"> respecto al año previo</w:t>
      </w:r>
      <w:r w:rsidR="00D04A8B">
        <w:t xml:space="preserve">. </w:t>
      </w:r>
    </w:p>
    <w:p w14:paraId="3B8D0F0B" w14:textId="77777777" w:rsidR="00F67E17" w:rsidRDefault="00F67E17" w:rsidP="00D04A8B"/>
    <w:p w14:paraId="235FC32E" w14:textId="44379842" w:rsidR="00D04A8B" w:rsidRPr="00FC4688" w:rsidRDefault="00D04A8B" w:rsidP="00D04A8B">
      <w:r>
        <w:t>En cuanto a los</w:t>
      </w:r>
      <w:r w:rsidRPr="00FC4688">
        <w:t xml:space="preserve"> impuestos sobre la propiedad</w:t>
      </w:r>
      <w:r w:rsidR="0042467B">
        <w:t>, su</w:t>
      </w:r>
      <w:r>
        <w:t xml:space="preserve"> recaudación ascendió a Q7.4 millones</w:t>
      </w:r>
      <w:r w:rsidR="0042467B">
        <w:t xml:space="preserve"> y </w:t>
      </w:r>
      <w:r>
        <w:t>muestra</w:t>
      </w:r>
      <w:r w:rsidR="0042467B">
        <w:t xml:space="preserve"> una</w:t>
      </w:r>
      <w:r>
        <w:t xml:space="preserve"> caída de 30.9</w:t>
      </w:r>
      <w:r w:rsidRPr="00FC4688">
        <w:t>% (Q</w:t>
      </w:r>
      <w:r>
        <w:t>3.3</w:t>
      </w:r>
      <w:r w:rsidRPr="00FC4688">
        <w:t xml:space="preserve"> millones)</w:t>
      </w:r>
      <w:r>
        <w:t>.</w:t>
      </w:r>
    </w:p>
    <w:p w14:paraId="2BCF7542" w14:textId="77777777" w:rsidR="00D04A8B" w:rsidRPr="00FC4688" w:rsidRDefault="00D04A8B" w:rsidP="00D04A8B"/>
    <w:p w14:paraId="6521FD85" w14:textId="277F5A5D" w:rsidR="00A6565E" w:rsidRDefault="00D53B2A" w:rsidP="00F67E17">
      <w:r>
        <w:t xml:space="preserve">Cabe mencionar que entre los elementos más relevantes que han contribuido al buen comportamiento de la recaudación tributaria </w:t>
      </w:r>
      <w:r w:rsidRPr="00D53B2A">
        <w:t>son las medidas que desarrolló SAT</w:t>
      </w:r>
      <w:r>
        <w:t>,</w:t>
      </w:r>
      <w:r w:rsidRPr="00D53B2A">
        <w:t xml:space="preserve"> </w:t>
      </w:r>
      <w:r>
        <w:t xml:space="preserve">tales como; la </w:t>
      </w:r>
      <w:r w:rsidRPr="00D53B2A">
        <w:t>fiscalización por sector económico</w:t>
      </w:r>
      <w:r>
        <w:t>, control de fiscalización en pie de buque, fiscalización de inventarios, selectividad de mercaderías, resolución de conflictos tributarias</w:t>
      </w:r>
      <w:r w:rsidRPr="00D53B2A">
        <w:t xml:space="preserve"> y la inclusión de nuevos anexos al formulario</w:t>
      </w:r>
      <w:r>
        <w:t xml:space="preserve"> en el ISR.</w:t>
      </w:r>
    </w:p>
    <w:p w14:paraId="13A9A49F" w14:textId="77777777" w:rsidR="005B5A6B" w:rsidRDefault="005B5A6B" w:rsidP="00F67E17"/>
    <w:p w14:paraId="6C9C90FC" w14:textId="77777777" w:rsidR="005B5A6B" w:rsidRDefault="005B5A6B" w:rsidP="00F67E17"/>
    <w:p w14:paraId="5347F8CE" w14:textId="77777777" w:rsidR="005B5A6B" w:rsidRDefault="005B5A6B" w:rsidP="00F67E17"/>
    <w:p w14:paraId="077ED12B" w14:textId="77777777" w:rsidR="005B5A6B" w:rsidRDefault="005B5A6B" w:rsidP="00F67E17"/>
    <w:p w14:paraId="7E0B5894" w14:textId="77777777" w:rsidR="00E66A98" w:rsidRPr="00FC4688" w:rsidRDefault="00E66A98" w:rsidP="00E66A98">
      <w:pPr>
        <w:pStyle w:val="Prrafodelista"/>
        <w:numPr>
          <w:ilvl w:val="0"/>
          <w:numId w:val="32"/>
        </w:numPr>
        <w:outlineLvl w:val="2"/>
        <w:rPr>
          <w:rFonts w:cs="Times New Roman"/>
          <w:b/>
          <w:vanish/>
          <w:lang w:val="es-MX"/>
        </w:rPr>
      </w:pPr>
      <w:bookmarkStart w:id="48" w:name="_Toc31612759"/>
      <w:bookmarkStart w:id="49" w:name="_Toc31612791"/>
      <w:bookmarkStart w:id="50" w:name="_Toc31614817"/>
      <w:bookmarkStart w:id="51" w:name="_Toc31614849"/>
      <w:bookmarkStart w:id="52" w:name="_Toc31618686"/>
      <w:bookmarkStart w:id="53" w:name="_Toc31618719"/>
      <w:bookmarkStart w:id="54" w:name="_Toc31624495"/>
      <w:bookmarkStart w:id="55" w:name="_Toc31625347"/>
      <w:bookmarkStart w:id="56" w:name="_Toc31626802"/>
      <w:bookmarkStart w:id="57" w:name="_Toc31811253"/>
      <w:bookmarkStart w:id="58" w:name="_Toc31811698"/>
      <w:bookmarkStart w:id="59" w:name="_Toc31971861"/>
      <w:bookmarkStart w:id="60" w:name="_Toc32230883"/>
      <w:bookmarkStart w:id="61" w:name="_Toc33109782"/>
      <w:bookmarkStart w:id="62" w:name="_Toc33109825"/>
      <w:bookmarkStart w:id="63" w:name="_Toc33180546"/>
      <w:bookmarkStart w:id="64" w:name="_Toc33180640"/>
      <w:bookmarkStart w:id="65" w:name="_Toc33193537"/>
      <w:bookmarkStart w:id="66" w:name="_Toc33193576"/>
      <w:bookmarkStart w:id="67" w:name="_Toc33196773"/>
      <w:bookmarkStart w:id="68" w:name="_Toc40691749"/>
      <w:bookmarkStart w:id="69" w:name="_Toc40959152"/>
      <w:bookmarkStart w:id="70" w:name="_Toc40975986"/>
      <w:bookmarkStart w:id="71" w:name="_Toc40976055"/>
      <w:bookmarkStart w:id="72" w:name="_Toc40993310"/>
      <w:bookmarkStart w:id="73" w:name="_Toc40993692"/>
      <w:bookmarkStart w:id="74" w:name="_Toc41037568"/>
      <w:bookmarkStart w:id="75" w:name="_Toc41254128"/>
      <w:bookmarkStart w:id="76" w:name="_Toc41254160"/>
      <w:bookmarkStart w:id="77" w:name="_Toc41254180"/>
      <w:bookmarkStart w:id="78" w:name="_Toc42023953"/>
      <w:bookmarkStart w:id="79" w:name="_Toc42024006"/>
      <w:bookmarkStart w:id="80" w:name="_Toc42069104"/>
      <w:bookmarkStart w:id="81" w:name="_Toc49422050"/>
      <w:bookmarkStart w:id="82" w:name="_Toc49422076"/>
      <w:bookmarkStart w:id="83" w:name="_Toc49430655"/>
      <w:bookmarkStart w:id="84" w:name="_Toc49430681"/>
      <w:bookmarkStart w:id="85" w:name="_Toc49750458"/>
      <w:bookmarkStart w:id="86" w:name="_Toc49750708"/>
      <w:bookmarkStart w:id="87" w:name="_Toc49750736"/>
      <w:bookmarkStart w:id="88" w:name="_Toc55284822"/>
      <w:bookmarkStart w:id="89" w:name="_Toc55298840"/>
      <w:bookmarkStart w:id="90" w:name="_Toc55373821"/>
      <w:bookmarkStart w:id="91" w:name="_Toc55373994"/>
      <w:bookmarkStart w:id="92" w:name="_Toc55375131"/>
      <w:bookmarkStart w:id="93" w:name="_Toc55396539"/>
      <w:bookmarkStart w:id="94" w:name="_Toc65230535"/>
      <w:bookmarkStart w:id="95" w:name="_Toc65230773"/>
      <w:bookmarkStart w:id="96" w:name="_Toc65232057"/>
      <w:bookmarkStart w:id="97" w:name="_Toc65232302"/>
      <w:bookmarkStart w:id="98" w:name="_Toc66716161"/>
      <w:bookmarkStart w:id="99" w:name="_Toc71097206"/>
      <w:bookmarkStart w:id="100" w:name="_Toc71097237"/>
      <w:bookmarkStart w:id="101" w:name="_Toc71097312"/>
      <w:bookmarkStart w:id="102" w:name="_Toc71108052"/>
      <w:bookmarkStart w:id="103" w:name="_Toc79055246"/>
      <w:bookmarkStart w:id="104" w:name="_Toc79055277"/>
      <w:bookmarkStart w:id="105" w:name="_Toc79060168"/>
      <w:bookmarkStart w:id="106" w:name="_Toc79060455"/>
      <w:bookmarkStart w:id="107" w:name="_Toc81307812"/>
      <w:bookmarkStart w:id="108" w:name="_Toc83376473"/>
      <w:bookmarkStart w:id="109" w:name="_Toc86386712"/>
      <w:bookmarkStart w:id="110" w:name="_Toc86405398"/>
      <w:bookmarkStart w:id="111" w:name="_Toc98162428"/>
      <w:bookmarkStart w:id="112" w:name="_Toc98162460"/>
      <w:bookmarkStart w:id="113" w:name="_Toc98234986"/>
      <w:bookmarkStart w:id="114" w:name="_Toc98235181"/>
      <w:bookmarkStart w:id="115" w:name="_Toc98235266"/>
      <w:bookmarkStart w:id="116" w:name="_Toc98757136"/>
      <w:bookmarkStart w:id="117" w:name="_Toc101874691"/>
      <w:bookmarkStart w:id="118" w:name="_Toc101954147"/>
      <w:bookmarkStart w:id="119" w:name="_Toc101971964"/>
      <w:bookmarkStart w:id="120" w:name="_Toc101974056"/>
      <w:bookmarkStart w:id="121" w:name="_Toc102039741"/>
      <w:bookmarkStart w:id="122" w:name="_Toc102039779"/>
      <w:bookmarkStart w:id="123" w:name="_Toc102039819"/>
      <w:bookmarkStart w:id="124" w:name="_Toc102039850"/>
      <w:bookmarkStart w:id="125" w:name="_Toc102040908"/>
      <w:bookmarkStart w:id="126" w:name="_Toc102477756"/>
      <w:bookmarkStart w:id="127" w:name="_Toc102477787"/>
      <w:bookmarkStart w:id="128" w:name="_Toc109824817"/>
      <w:bookmarkStart w:id="129" w:name="_Toc109828773"/>
      <w:bookmarkStart w:id="130" w:name="_Toc109828836"/>
      <w:bookmarkStart w:id="131" w:name="_Toc109829012"/>
      <w:bookmarkStart w:id="132" w:name="_Toc109829043"/>
      <w:bookmarkStart w:id="133" w:name="_Toc109833887"/>
      <w:bookmarkStart w:id="134" w:name="_Toc110237430"/>
      <w:bookmarkStart w:id="135" w:name="_Toc117775307"/>
      <w:bookmarkStart w:id="136" w:name="_Toc117781276"/>
      <w:bookmarkStart w:id="137" w:name="_Toc125620805"/>
      <w:bookmarkStart w:id="138" w:name="_Toc125620836"/>
      <w:bookmarkStart w:id="139" w:name="_Toc125620867"/>
      <w:bookmarkStart w:id="140" w:name="_Toc125620903"/>
      <w:bookmarkStart w:id="141" w:name="_Toc125620934"/>
      <w:bookmarkStart w:id="142" w:name="_Toc125620967"/>
      <w:bookmarkStart w:id="143" w:name="_Toc125621020"/>
      <w:bookmarkStart w:id="144" w:name="_Toc125621074"/>
      <w:bookmarkStart w:id="145" w:name="_Toc125623552"/>
      <w:bookmarkStart w:id="146" w:name="_Toc125623584"/>
      <w:bookmarkStart w:id="147" w:name="_Toc125623616"/>
      <w:bookmarkStart w:id="148" w:name="_Toc125970362"/>
      <w:bookmarkStart w:id="149" w:name="_Toc125970394"/>
      <w:bookmarkStart w:id="150" w:name="_Toc127365845"/>
      <w:bookmarkStart w:id="151" w:name="_Toc127434597"/>
      <w:bookmarkStart w:id="152" w:name="_Toc127436964"/>
      <w:bookmarkStart w:id="153" w:name="_Toc127437326"/>
      <w:bookmarkStart w:id="154" w:name="_Toc127437679"/>
      <w:bookmarkStart w:id="155" w:name="_Toc133492773"/>
      <w:bookmarkStart w:id="156" w:name="_Toc133492970"/>
      <w:bookmarkStart w:id="157" w:name="_Toc133493192"/>
      <w:bookmarkStart w:id="158" w:name="_Toc133497826"/>
      <w:bookmarkStart w:id="159" w:name="_Toc133505546"/>
      <w:bookmarkStart w:id="160" w:name="_Toc133576124"/>
      <w:bookmarkStart w:id="161" w:name="_Toc133576196"/>
      <w:bookmarkStart w:id="162" w:name="_Toc133576229"/>
      <w:bookmarkStart w:id="163" w:name="_Toc133576261"/>
      <w:bookmarkStart w:id="164" w:name="_Toc133576293"/>
      <w:bookmarkStart w:id="165" w:name="_Toc133576325"/>
      <w:bookmarkStart w:id="166" w:name="_Toc133576378"/>
      <w:bookmarkStart w:id="167" w:name="_Toc133576411"/>
      <w:bookmarkStart w:id="168" w:name="_Toc133576445"/>
      <w:bookmarkStart w:id="169" w:name="_Toc13357647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14523242" w14:textId="77777777" w:rsidR="00E66A98" w:rsidRPr="00FC4688" w:rsidRDefault="00E66A98" w:rsidP="00E66A98">
      <w:pPr>
        <w:pStyle w:val="Prrafodelista"/>
        <w:numPr>
          <w:ilvl w:val="1"/>
          <w:numId w:val="32"/>
        </w:numPr>
        <w:outlineLvl w:val="2"/>
        <w:rPr>
          <w:rFonts w:cs="Times New Roman"/>
          <w:b/>
          <w:vanish/>
          <w:lang w:val="es-MX"/>
        </w:rPr>
      </w:pPr>
      <w:bookmarkStart w:id="170" w:name="_Toc31612760"/>
      <w:bookmarkStart w:id="171" w:name="_Toc31612792"/>
      <w:bookmarkStart w:id="172" w:name="_Toc31614818"/>
      <w:bookmarkStart w:id="173" w:name="_Toc31614850"/>
      <w:bookmarkStart w:id="174" w:name="_Toc31618687"/>
      <w:bookmarkStart w:id="175" w:name="_Toc31618720"/>
      <w:bookmarkStart w:id="176" w:name="_Toc31624496"/>
      <w:bookmarkStart w:id="177" w:name="_Toc31625348"/>
      <w:bookmarkStart w:id="178" w:name="_Toc31626803"/>
      <w:bookmarkStart w:id="179" w:name="_Toc31811254"/>
      <w:bookmarkStart w:id="180" w:name="_Toc31811699"/>
      <w:bookmarkStart w:id="181" w:name="_Toc31971862"/>
      <w:bookmarkStart w:id="182" w:name="_Toc32230884"/>
      <w:bookmarkStart w:id="183" w:name="_Toc33109783"/>
      <w:bookmarkStart w:id="184" w:name="_Toc33109826"/>
      <w:bookmarkStart w:id="185" w:name="_Toc33180547"/>
      <w:bookmarkStart w:id="186" w:name="_Toc33180641"/>
      <w:bookmarkStart w:id="187" w:name="_Toc33193538"/>
      <w:bookmarkStart w:id="188" w:name="_Toc33193577"/>
      <w:bookmarkStart w:id="189" w:name="_Toc33196774"/>
      <w:bookmarkStart w:id="190" w:name="_Toc40691750"/>
      <w:bookmarkStart w:id="191" w:name="_Toc40959153"/>
      <w:bookmarkStart w:id="192" w:name="_Toc40975987"/>
      <w:bookmarkStart w:id="193" w:name="_Toc40976056"/>
      <w:bookmarkStart w:id="194" w:name="_Toc40993311"/>
      <w:bookmarkStart w:id="195" w:name="_Toc40993693"/>
      <w:bookmarkStart w:id="196" w:name="_Toc41037569"/>
      <w:bookmarkStart w:id="197" w:name="_Toc41254129"/>
      <w:bookmarkStart w:id="198" w:name="_Toc41254161"/>
      <w:bookmarkStart w:id="199" w:name="_Toc41254181"/>
      <w:bookmarkStart w:id="200" w:name="_Toc42023954"/>
      <w:bookmarkStart w:id="201" w:name="_Toc42024007"/>
      <w:bookmarkStart w:id="202" w:name="_Toc42069105"/>
      <w:bookmarkStart w:id="203" w:name="_Toc49422051"/>
      <w:bookmarkStart w:id="204" w:name="_Toc49422077"/>
      <w:bookmarkStart w:id="205" w:name="_Toc49430656"/>
      <w:bookmarkStart w:id="206" w:name="_Toc49430682"/>
      <w:bookmarkStart w:id="207" w:name="_Toc49750459"/>
      <w:bookmarkStart w:id="208" w:name="_Toc49750709"/>
      <w:bookmarkStart w:id="209" w:name="_Toc49750737"/>
      <w:bookmarkStart w:id="210" w:name="_Toc55284823"/>
      <w:bookmarkStart w:id="211" w:name="_Toc55298841"/>
      <w:bookmarkStart w:id="212" w:name="_Toc55373822"/>
      <w:bookmarkStart w:id="213" w:name="_Toc55373995"/>
      <w:bookmarkStart w:id="214" w:name="_Toc55375132"/>
      <w:bookmarkStart w:id="215" w:name="_Toc55396540"/>
      <w:bookmarkStart w:id="216" w:name="_Toc65230536"/>
      <w:bookmarkStart w:id="217" w:name="_Toc65230774"/>
      <w:bookmarkStart w:id="218" w:name="_Toc65232058"/>
      <w:bookmarkStart w:id="219" w:name="_Toc65232303"/>
      <w:bookmarkStart w:id="220" w:name="_Toc66716162"/>
      <w:bookmarkStart w:id="221" w:name="_Toc71097207"/>
      <w:bookmarkStart w:id="222" w:name="_Toc71097238"/>
      <w:bookmarkStart w:id="223" w:name="_Toc71097313"/>
      <w:bookmarkStart w:id="224" w:name="_Toc71108053"/>
      <w:bookmarkStart w:id="225" w:name="_Toc79055247"/>
      <w:bookmarkStart w:id="226" w:name="_Toc79055278"/>
      <w:bookmarkStart w:id="227" w:name="_Toc79060169"/>
      <w:bookmarkStart w:id="228" w:name="_Toc79060456"/>
      <w:bookmarkStart w:id="229" w:name="_Toc81307813"/>
      <w:bookmarkStart w:id="230" w:name="_Toc83376474"/>
      <w:bookmarkStart w:id="231" w:name="_Toc86386713"/>
      <w:bookmarkStart w:id="232" w:name="_Toc86405399"/>
      <w:bookmarkStart w:id="233" w:name="_Toc98162429"/>
      <w:bookmarkStart w:id="234" w:name="_Toc98162461"/>
      <w:bookmarkStart w:id="235" w:name="_Toc98234987"/>
      <w:bookmarkStart w:id="236" w:name="_Toc98235182"/>
      <w:bookmarkStart w:id="237" w:name="_Toc98235267"/>
      <w:bookmarkStart w:id="238" w:name="_Toc98757137"/>
      <w:bookmarkStart w:id="239" w:name="_Toc101874692"/>
      <w:bookmarkStart w:id="240" w:name="_Toc101954148"/>
      <w:bookmarkStart w:id="241" w:name="_Toc101971965"/>
      <w:bookmarkStart w:id="242" w:name="_Toc101974057"/>
      <w:bookmarkStart w:id="243" w:name="_Toc102039742"/>
      <w:bookmarkStart w:id="244" w:name="_Toc102039780"/>
      <w:bookmarkStart w:id="245" w:name="_Toc102039820"/>
      <w:bookmarkStart w:id="246" w:name="_Toc102039851"/>
      <w:bookmarkStart w:id="247" w:name="_Toc102040909"/>
      <w:bookmarkStart w:id="248" w:name="_Toc102477757"/>
      <w:bookmarkStart w:id="249" w:name="_Toc102477788"/>
      <w:bookmarkStart w:id="250" w:name="_Toc109824818"/>
      <w:bookmarkStart w:id="251" w:name="_Toc109828774"/>
      <w:bookmarkStart w:id="252" w:name="_Toc109828837"/>
      <w:bookmarkStart w:id="253" w:name="_Toc109829013"/>
      <w:bookmarkStart w:id="254" w:name="_Toc109829044"/>
      <w:bookmarkStart w:id="255" w:name="_Toc109833888"/>
      <w:bookmarkStart w:id="256" w:name="_Toc110237431"/>
      <w:bookmarkStart w:id="257" w:name="_Toc117775308"/>
      <w:bookmarkStart w:id="258" w:name="_Toc117781277"/>
      <w:bookmarkStart w:id="259" w:name="_Toc125620806"/>
      <w:bookmarkStart w:id="260" w:name="_Toc125620837"/>
      <w:bookmarkStart w:id="261" w:name="_Toc125620868"/>
      <w:bookmarkStart w:id="262" w:name="_Toc125620904"/>
      <w:bookmarkStart w:id="263" w:name="_Toc125620935"/>
      <w:bookmarkStart w:id="264" w:name="_Toc125620968"/>
      <w:bookmarkStart w:id="265" w:name="_Toc125621021"/>
      <w:bookmarkStart w:id="266" w:name="_Toc125621075"/>
      <w:bookmarkStart w:id="267" w:name="_Toc125623553"/>
      <w:bookmarkStart w:id="268" w:name="_Toc125623585"/>
      <w:bookmarkStart w:id="269" w:name="_Toc125623617"/>
      <w:bookmarkStart w:id="270" w:name="_Toc125970363"/>
      <w:bookmarkStart w:id="271" w:name="_Toc125970395"/>
      <w:bookmarkStart w:id="272" w:name="_Toc127365846"/>
      <w:bookmarkStart w:id="273" w:name="_Toc127434598"/>
      <w:bookmarkStart w:id="274" w:name="_Toc127436965"/>
      <w:bookmarkStart w:id="275" w:name="_Toc127437327"/>
      <w:bookmarkStart w:id="276" w:name="_Toc127437680"/>
      <w:bookmarkStart w:id="277" w:name="_Toc133492774"/>
      <w:bookmarkStart w:id="278" w:name="_Toc133492971"/>
      <w:bookmarkStart w:id="279" w:name="_Toc133493193"/>
      <w:bookmarkStart w:id="280" w:name="_Toc133497827"/>
      <w:bookmarkStart w:id="281" w:name="_Toc133505547"/>
      <w:bookmarkStart w:id="282" w:name="_Toc133576125"/>
      <w:bookmarkStart w:id="283" w:name="_Toc133576197"/>
      <w:bookmarkStart w:id="284" w:name="_Toc133576230"/>
      <w:bookmarkStart w:id="285" w:name="_Toc133576262"/>
      <w:bookmarkStart w:id="286" w:name="_Toc133576294"/>
      <w:bookmarkStart w:id="287" w:name="_Toc133576326"/>
      <w:bookmarkStart w:id="288" w:name="_Toc133576379"/>
      <w:bookmarkStart w:id="289" w:name="_Toc133576412"/>
      <w:bookmarkStart w:id="290" w:name="_Toc133576446"/>
      <w:bookmarkStart w:id="291" w:name="_Toc13357647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305ED7A2" w14:textId="77777777" w:rsidR="00E66A98" w:rsidRPr="00FC4688" w:rsidRDefault="00E66A98" w:rsidP="00E66A98">
      <w:pPr>
        <w:pStyle w:val="Prrafodelista"/>
        <w:numPr>
          <w:ilvl w:val="1"/>
          <w:numId w:val="32"/>
        </w:numPr>
        <w:outlineLvl w:val="2"/>
        <w:rPr>
          <w:rFonts w:cs="Times New Roman"/>
          <w:b/>
          <w:vanish/>
          <w:lang w:val="es-MX"/>
        </w:rPr>
      </w:pPr>
      <w:bookmarkStart w:id="292" w:name="_Toc31612761"/>
      <w:bookmarkStart w:id="293" w:name="_Toc31612793"/>
      <w:bookmarkStart w:id="294" w:name="_Toc31614819"/>
      <w:bookmarkStart w:id="295" w:name="_Toc31614851"/>
      <w:bookmarkStart w:id="296" w:name="_Toc31618688"/>
      <w:bookmarkStart w:id="297" w:name="_Toc31618721"/>
      <w:bookmarkStart w:id="298" w:name="_Toc31624497"/>
      <w:bookmarkStart w:id="299" w:name="_Toc31625349"/>
      <w:bookmarkStart w:id="300" w:name="_Toc31626804"/>
      <w:bookmarkStart w:id="301" w:name="_Toc31811255"/>
      <w:bookmarkStart w:id="302" w:name="_Toc31811700"/>
      <w:bookmarkStart w:id="303" w:name="_Toc31971863"/>
      <w:bookmarkStart w:id="304" w:name="_Toc32230885"/>
      <w:bookmarkStart w:id="305" w:name="_Toc33109784"/>
      <w:bookmarkStart w:id="306" w:name="_Toc33109827"/>
      <w:bookmarkStart w:id="307" w:name="_Toc33180548"/>
      <w:bookmarkStart w:id="308" w:name="_Toc33180642"/>
      <w:bookmarkStart w:id="309" w:name="_Toc33193539"/>
      <w:bookmarkStart w:id="310" w:name="_Toc33193578"/>
      <w:bookmarkStart w:id="311" w:name="_Toc33196775"/>
      <w:bookmarkStart w:id="312" w:name="_Toc40691751"/>
      <w:bookmarkStart w:id="313" w:name="_Toc40959154"/>
      <w:bookmarkStart w:id="314" w:name="_Toc40975988"/>
      <w:bookmarkStart w:id="315" w:name="_Toc40976057"/>
      <w:bookmarkStart w:id="316" w:name="_Toc40993312"/>
      <w:bookmarkStart w:id="317" w:name="_Toc40993694"/>
      <w:bookmarkStart w:id="318" w:name="_Toc41037570"/>
      <w:bookmarkStart w:id="319" w:name="_Toc41254130"/>
      <w:bookmarkStart w:id="320" w:name="_Toc41254162"/>
      <w:bookmarkStart w:id="321" w:name="_Toc41254182"/>
      <w:bookmarkStart w:id="322" w:name="_Toc42023955"/>
      <w:bookmarkStart w:id="323" w:name="_Toc42024008"/>
      <w:bookmarkStart w:id="324" w:name="_Toc42069106"/>
      <w:bookmarkStart w:id="325" w:name="_Toc49422052"/>
      <w:bookmarkStart w:id="326" w:name="_Toc49422078"/>
      <w:bookmarkStart w:id="327" w:name="_Toc49430657"/>
      <w:bookmarkStart w:id="328" w:name="_Toc49430683"/>
      <w:bookmarkStart w:id="329" w:name="_Toc49750460"/>
      <w:bookmarkStart w:id="330" w:name="_Toc49750710"/>
      <w:bookmarkStart w:id="331" w:name="_Toc49750738"/>
      <w:bookmarkStart w:id="332" w:name="_Toc55284824"/>
      <w:bookmarkStart w:id="333" w:name="_Toc55298842"/>
      <w:bookmarkStart w:id="334" w:name="_Toc55373823"/>
      <w:bookmarkStart w:id="335" w:name="_Toc55373996"/>
      <w:bookmarkStart w:id="336" w:name="_Toc55375133"/>
      <w:bookmarkStart w:id="337" w:name="_Toc55396541"/>
      <w:bookmarkStart w:id="338" w:name="_Toc65230537"/>
      <w:bookmarkStart w:id="339" w:name="_Toc65230775"/>
      <w:bookmarkStart w:id="340" w:name="_Toc65232059"/>
      <w:bookmarkStart w:id="341" w:name="_Toc65232304"/>
      <w:bookmarkStart w:id="342" w:name="_Toc66716163"/>
      <w:bookmarkStart w:id="343" w:name="_Toc71097208"/>
      <w:bookmarkStart w:id="344" w:name="_Toc71097239"/>
      <w:bookmarkStart w:id="345" w:name="_Toc71097314"/>
      <w:bookmarkStart w:id="346" w:name="_Toc71108054"/>
      <w:bookmarkStart w:id="347" w:name="_Toc79055248"/>
      <w:bookmarkStart w:id="348" w:name="_Toc79055279"/>
      <w:bookmarkStart w:id="349" w:name="_Toc79060170"/>
      <w:bookmarkStart w:id="350" w:name="_Toc79060457"/>
      <w:bookmarkStart w:id="351" w:name="_Toc81307814"/>
      <w:bookmarkStart w:id="352" w:name="_Toc83376475"/>
      <w:bookmarkStart w:id="353" w:name="_Toc86386714"/>
      <w:bookmarkStart w:id="354" w:name="_Toc86405400"/>
      <w:bookmarkStart w:id="355" w:name="_Toc98162430"/>
      <w:bookmarkStart w:id="356" w:name="_Toc98162462"/>
      <w:bookmarkStart w:id="357" w:name="_Toc98234988"/>
      <w:bookmarkStart w:id="358" w:name="_Toc98235183"/>
      <w:bookmarkStart w:id="359" w:name="_Toc98235268"/>
      <w:bookmarkStart w:id="360" w:name="_Toc98757138"/>
      <w:bookmarkStart w:id="361" w:name="_Toc101874693"/>
      <w:bookmarkStart w:id="362" w:name="_Toc101954149"/>
      <w:bookmarkStart w:id="363" w:name="_Toc101971966"/>
      <w:bookmarkStart w:id="364" w:name="_Toc101974058"/>
      <w:bookmarkStart w:id="365" w:name="_Toc102039743"/>
      <w:bookmarkStart w:id="366" w:name="_Toc102039781"/>
      <w:bookmarkStart w:id="367" w:name="_Toc102039821"/>
      <w:bookmarkStart w:id="368" w:name="_Toc102039852"/>
      <w:bookmarkStart w:id="369" w:name="_Toc102040910"/>
      <w:bookmarkStart w:id="370" w:name="_Toc102477758"/>
      <w:bookmarkStart w:id="371" w:name="_Toc102477789"/>
      <w:bookmarkStart w:id="372" w:name="_Toc109824819"/>
      <w:bookmarkStart w:id="373" w:name="_Toc109828775"/>
      <w:bookmarkStart w:id="374" w:name="_Toc109828838"/>
      <w:bookmarkStart w:id="375" w:name="_Toc109829014"/>
      <w:bookmarkStart w:id="376" w:name="_Toc109829045"/>
      <w:bookmarkStart w:id="377" w:name="_Toc109833889"/>
      <w:bookmarkStart w:id="378" w:name="_Toc110237432"/>
      <w:bookmarkStart w:id="379" w:name="_Toc117775309"/>
      <w:bookmarkStart w:id="380" w:name="_Toc117781278"/>
      <w:bookmarkStart w:id="381" w:name="_Toc125620807"/>
      <w:bookmarkStart w:id="382" w:name="_Toc125620838"/>
      <w:bookmarkStart w:id="383" w:name="_Toc125620869"/>
      <w:bookmarkStart w:id="384" w:name="_Toc125620905"/>
      <w:bookmarkStart w:id="385" w:name="_Toc125620936"/>
      <w:bookmarkStart w:id="386" w:name="_Toc125620969"/>
      <w:bookmarkStart w:id="387" w:name="_Toc125621022"/>
      <w:bookmarkStart w:id="388" w:name="_Toc125621076"/>
      <w:bookmarkStart w:id="389" w:name="_Toc125623554"/>
      <w:bookmarkStart w:id="390" w:name="_Toc125623586"/>
      <w:bookmarkStart w:id="391" w:name="_Toc125623618"/>
      <w:bookmarkStart w:id="392" w:name="_Toc125970364"/>
      <w:bookmarkStart w:id="393" w:name="_Toc125970396"/>
      <w:bookmarkStart w:id="394" w:name="_Toc127365847"/>
      <w:bookmarkStart w:id="395" w:name="_Toc127434599"/>
      <w:bookmarkStart w:id="396" w:name="_Toc127436966"/>
      <w:bookmarkStart w:id="397" w:name="_Toc127437328"/>
      <w:bookmarkStart w:id="398" w:name="_Toc127437681"/>
      <w:bookmarkStart w:id="399" w:name="_Toc133492775"/>
      <w:bookmarkStart w:id="400" w:name="_Toc133492972"/>
      <w:bookmarkStart w:id="401" w:name="_Toc133493194"/>
      <w:bookmarkStart w:id="402" w:name="_Toc133497828"/>
      <w:bookmarkStart w:id="403" w:name="_Toc133505548"/>
      <w:bookmarkStart w:id="404" w:name="_Toc133576126"/>
      <w:bookmarkStart w:id="405" w:name="_Toc133576198"/>
      <w:bookmarkStart w:id="406" w:name="_Toc133576231"/>
      <w:bookmarkStart w:id="407" w:name="_Toc133576263"/>
      <w:bookmarkStart w:id="408" w:name="_Toc133576295"/>
      <w:bookmarkStart w:id="409" w:name="_Toc133576327"/>
      <w:bookmarkStart w:id="410" w:name="_Toc133576380"/>
      <w:bookmarkStart w:id="411" w:name="_Toc133576413"/>
      <w:bookmarkStart w:id="412" w:name="_Toc133576447"/>
      <w:bookmarkStart w:id="413" w:name="_Toc133576480"/>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77791D33" w14:textId="3A07D617" w:rsidR="005B5A6B" w:rsidRPr="005B5A6B" w:rsidRDefault="008C0B31" w:rsidP="005B5A6B">
      <w:pPr>
        <w:pStyle w:val="Prrafodelista"/>
        <w:numPr>
          <w:ilvl w:val="0"/>
          <w:numId w:val="1"/>
        </w:numPr>
        <w:ind w:left="426" w:hanging="426"/>
        <w:outlineLvl w:val="0"/>
        <w:rPr>
          <w:rFonts w:eastAsiaTheme="majorEastAsia" w:cs="Times New Roman"/>
          <w:b/>
          <w:bCs/>
          <w:sz w:val="24"/>
          <w:szCs w:val="26"/>
          <w:lang w:val="es-ES_tradnl" w:eastAsia="es-ES"/>
        </w:rPr>
      </w:pPr>
      <w:bookmarkStart w:id="414" w:name="_Toc133576481"/>
      <w:r w:rsidRPr="00FC4688">
        <w:rPr>
          <w:rFonts w:eastAsiaTheme="majorEastAsia" w:cs="Times New Roman"/>
          <w:b/>
          <w:bCs/>
          <w:sz w:val="24"/>
          <w:szCs w:val="26"/>
          <w:lang w:val="es-ES_tradnl" w:eastAsia="es-ES"/>
        </w:rPr>
        <w:t>Gasto Público</w:t>
      </w:r>
      <w:r w:rsidR="00CE4BA6" w:rsidRPr="00FC4688">
        <w:rPr>
          <w:rFonts w:eastAsiaTheme="majorEastAsia" w:cs="Times New Roman"/>
          <w:b/>
          <w:bCs/>
          <w:sz w:val="24"/>
          <w:szCs w:val="26"/>
          <w:lang w:val="es-ES_tradnl" w:eastAsia="es-ES"/>
        </w:rPr>
        <w:t xml:space="preserve"> del Gobierno Central Presupuestario</w:t>
      </w:r>
      <w:bookmarkEnd w:id="414"/>
    </w:p>
    <w:p w14:paraId="60038496" w14:textId="7922E01D" w:rsidR="0039614C" w:rsidRPr="00FC4688" w:rsidRDefault="0039614C" w:rsidP="00B57C32">
      <w:pPr>
        <w:rPr>
          <w:rFonts w:eastAsiaTheme="majorEastAsia" w:cs="Times New Roman"/>
          <w:b/>
          <w:bCs/>
          <w:sz w:val="24"/>
          <w:szCs w:val="26"/>
          <w:lang w:val="es-ES_tradnl"/>
        </w:rPr>
      </w:pPr>
      <w:r w:rsidRPr="00FC4688">
        <w:rPr>
          <w:rFonts w:eastAsiaTheme="majorEastAsia"/>
          <w:noProof/>
          <w:lang w:eastAsia="es-GT"/>
        </w:rPr>
        <w:drawing>
          <wp:inline distT="0" distB="0" distL="0" distR="0" wp14:anchorId="75D3D81E" wp14:editId="35A15FFD">
            <wp:extent cx="5836920" cy="948520"/>
            <wp:effectExtent l="76200" t="57150" r="87630" b="42545"/>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2025EE4" w14:textId="6F380151" w:rsidR="00770433" w:rsidRPr="00FC4688" w:rsidRDefault="00770433" w:rsidP="00770433">
      <w:pPr>
        <w:pStyle w:val="Prrafodelista"/>
        <w:keepNext/>
        <w:keepLines/>
        <w:numPr>
          <w:ilvl w:val="0"/>
          <w:numId w:val="12"/>
        </w:numPr>
        <w:spacing w:before="200"/>
        <w:contextualSpacing w:val="0"/>
        <w:outlineLvl w:val="1"/>
        <w:rPr>
          <w:rFonts w:eastAsiaTheme="majorEastAsia" w:cs="Times New Roman"/>
          <w:b/>
          <w:bCs/>
          <w:vanish/>
          <w:sz w:val="24"/>
          <w:szCs w:val="26"/>
          <w:lang w:val="es-ES_tradnl" w:eastAsia="es-ES"/>
        </w:rPr>
      </w:pPr>
      <w:bookmarkStart w:id="415" w:name="_Toc471986932"/>
      <w:bookmarkStart w:id="416" w:name="_Toc471987067"/>
      <w:bookmarkStart w:id="417" w:name="_Toc471987115"/>
      <w:bookmarkStart w:id="418" w:name="_Toc471987137"/>
      <w:bookmarkStart w:id="419" w:name="_Toc472082165"/>
      <w:bookmarkStart w:id="420" w:name="_Toc472082197"/>
      <w:bookmarkStart w:id="421" w:name="_Toc472089913"/>
      <w:bookmarkStart w:id="422" w:name="_Toc472089936"/>
      <w:bookmarkStart w:id="423" w:name="_Toc505346063"/>
      <w:bookmarkStart w:id="424" w:name="_Toc505349878"/>
      <w:bookmarkStart w:id="425" w:name="_Toc534985836"/>
      <w:bookmarkStart w:id="426" w:name="_Toc534988229"/>
      <w:bookmarkStart w:id="427" w:name="_Toc31611549"/>
      <w:bookmarkStart w:id="428" w:name="_Toc31612768"/>
      <w:bookmarkStart w:id="429" w:name="_Toc31612800"/>
      <w:bookmarkStart w:id="430" w:name="_Toc31614826"/>
      <w:bookmarkStart w:id="431" w:name="_Toc31614858"/>
      <w:bookmarkStart w:id="432" w:name="_Toc31618695"/>
      <w:bookmarkStart w:id="433" w:name="_Toc31618728"/>
      <w:bookmarkStart w:id="434" w:name="_Toc31624504"/>
      <w:bookmarkStart w:id="435" w:name="_Toc31625356"/>
      <w:bookmarkStart w:id="436" w:name="_Toc31626811"/>
      <w:bookmarkStart w:id="437" w:name="_Toc31811262"/>
      <w:bookmarkStart w:id="438" w:name="_Toc31811707"/>
      <w:bookmarkStart w:id="439" w:name="_Toc31971870"/>
      <w:bookmarkStart w:id="440" w:name="_Toc32230892"/>
      <w:bookmarkStart w:id="441" w:name="_Toc33109788"/>
      <w:bookmarkStart w:id="442" w:name="_Toc33109831"/>
      <w:bookmarkStart w:id="443" w:name="_Toc33180552"/>
      <w:bookmarkStart w:id="444" w:name="_Toc33180646"/>
      <w:bookmarkStart w:id="445" w:name="_Toc33193543"/>
      <w:bookmarkStart w:id="446" w:name="_Toc33193582"/>
      <w:bookmarkStart w:id="447" w:name="_Toc33196779"/>
      <w:bookmarkStart w:id="448" w:name="_Toc40691755"/>
      <w:bookmarkStart w:id="449" w:name="_Toc40959156"/>
      <w:bookmarkStart w:id="450" w:name="_Toc40975990"/>
      <w:bookmarkStart w:id="451" w:name="_Toc40976059"/>
      <w:bookmarkStart w:id="452" w:name="_Toc40993314"/>
      <w:bookmarkStart w:id="453" w:name="_Toc40993696"/>
      <w:bookmarkStart w:id="454" w:name="_Toc41037572"/>
      <w:bookmarkStart w:id="455" w:name="_Toc41254132"/>
      <w:bookmarkStart w:id="456" w:name="_Toc41254164"/>
      <w:bookmarkStart w:id="457" w:name="_Toc41254184"/>
      <w:bookmarkStart w:id="458" w:name="_Toc42023958"/>
      <w:bookmarkStart w:id="459" w:name="_Toc42024010"/>
      <w:bookmarkStart w:id="460" w:name="_Toc42069108"/>
      <w:bookmarkStart w:id="461" w:name="_Toc49422054"/>
      <w:bookmarkStart w:id="462" w:name="_Toc49422080"/>
      <w:bookmarkStart w:id="463" w:name="_Toc49430659"/>
      <w:bookmarkStart w:id="464" w:name="_Toc49430685"/>
      <w:bookmarkStart w:id="465" w:name="_Toc49750462"/>
      <w:bookmarkStart w:id="466" w:name="_Toc49750712"/>
      <w:bookmarkStart w:id="467" w:name="_Toc49750740"/>
      <w:bookmarkStart w:id="468" w:name="_Toc55284826"/>
      <w:bookmarkStart w:id="469" w:name="_Toc55298844"/>
      <w:bookmarkStart w:id="470" w:name="_Toc55373825"/>
      <w:bookmarkStart w:id="471" w:name="_Toc55373998"/>
      <w:bookmarkStart w:id="472" w:name="_Toc55375135"/>
      <w:bookmarkStart w:id="473" w:name="_Toc55396543"/>
      <w:bookmarkStart w:id="474" w:name="_Toc65230539"/>
      <w:bookmarkStart w:id="475" w:name="_Toc65230777"/>
      <w:bookmarkStart w:id="476" w:name="_Toc65232061"/>
      <w:bookmarkStart w:id="477" w:name="_Toc65232306"/>
      <w:bookmarkStart w:id="478" w:name="_Toc66716165"/>
      <w:bookmarkStart w:id="479" w:name="_Toc71097210"/>
      <w:bookmarkStart w:id="480" w:name="_Toc71097241"/>
      <w:bookmarkStart w:id="481" w:name="_Toc71097316"/>
      <w:bookmarkStart w:id="482" w:name="_Toc71108056"/>
      <w:bookmarkStart w:id="483" w:name="_Toc79055250"/>
      <w:bookmarkStart w:id="484" w:name="_Toc79055281"/>
      <w:bookmarkStart w:id="485" w:name="_Toc79060172"/>
      <w:bookmarkStart w:id="486" w:name="_Toc79060459"/>
      <w:bookmarkStart w:id="487" w:name="_Toc81307816"/>
      <w:bookmarkStart w:id="488" w:name="_Toc83376477"/>
      <w:bookmarkStart w:id="489" w:name="_Toc86386716"/>
      <w:bookmarkStart w:id="490" w:name="_Toc86405402"/>
      <w:bookmarkStart w:id="491" w:name="_Toc98162432"/>
      <w:bookmarkStart w:id="492" w:name="_Toc98162464"/>
      <w:bookmarkStart w:id="493" w:name="_Toc98234990"/>
      <w:bookmarkStart w:id="494" w:name="_Toc98235185"/>
      <w:bookmarkStart w:id="495" w:name="_Toc98235270"/>
      <w:bookmarkStart w:id="496" w:name="_Toc98757140"/>
      <w:bookmarkStart w:id="497" w:name="_Toc101874695"/>
      <w:bookmarkStart w:id="498" w:name="_Toc101954151"/>
      <w:bookmarkStart w:id="499" w:name="_Toc101971968"/>
      <w:bookmarkStart w:id="500" w:name="_Toc101974060"/>
      <w:bookmarkStart w:id="501" w:name="_Toc102039745"/>
      <w:bookmarkStart w:id="502" w:name="_Toc102039783"/>
      <w:bookmarkStart w:id="503" w:name="_Toc102039823"/>
      <w:bookmarkStart w:id="504" w:name="_Toc102039854"/>
      <w:bookmarkStart w:id="505" w:name="_Toc102040912"/>
      <w:bookmarkStart w:id="506" w:name="_Toc102477760"/>
      <w:bookmarkStart w:id="507" w:name="_Toc102477791"/>
      <w:bookmarkStart w:id="508" w:name="_Toc109824821"/>
      <w:bookmarkStart w:id="509" w:name="_Toc109828777"/>
      <w:bookmarkStart w:id="510" w:name="_Toc109828840"/>
      <w:bookmarkStart w:id="511" w:name="_Toc109829016"/>
      <w:bookmarkStart w:id="512" w:name="_Toc109829047"/>
      <w:bookmarkStart w:id="513" w:name="_Toc109833891"/>
      <w:bookmarkStart w:id="514" w:name="_Toc110237434"/>
      <w:bookmarkStart w:id="515" w:name="_Toc117775311"/>
      <w:bookmarkStart w:id="516" w:name="_Toc117781280"/>
      <w:bookmarkStart w:id="517" w:name="_Toc125620809"/>
      <w:bookmarkStart w:id="518" w:name="_Toc125620840"/>
      <w:bookmarkStart w:id="519" w:name="_Toc125620871"/>
      <w:bookmarkStart w:id="520" w:name="_Toc125620907"/>
      <w:bookmarkStart w:id="521" w:name="_Toc125620938"/>
      <w:bookmarkStart w:id="522" w:name="_Toc125620971"/>
      <w:bookmarkStart w:id="523" w:name="_Toc125621024"/>
      <w:bookmarkStart w:id="524" w:name="_Toc125621078"/>
      <w:bookmarkStart w:id="525" w:name="_Toc125623556"/>
      <w:bookmarkStart w:id="526" w:name="_Toc125623588"/>
      <w:bookmarkStart w:id="527" w:name="_Toc125623620"/>
      <w:bookmarkStart w:id="528" w:name="_Toc125970366"/>
      <w:bookmarkStart w:id="529" w:name="_Toc125970398"/>
      <w:bookmarkStart w:id="530" w:name="_Toc127365849"/>
      <w:bookmarkStart w:id="531" w:name="_Toc127434601"/>
      <w:bookmarkStart w:id="532" w:name="_Toc127436968"/>
      <w:bookmarkStart w:id="533" w:name="_Toc127437330"/>
      <w:bookmarkStart w:id="534" w:name="_Toc127437683"/>
      <w:bookmarkStart w:id="535" w:name="_Toc133492777"/>
      <w:bookmarkStart w:id="536" w:name="_Toc133492974"/>
      <w:bookmarkStart w:id="537" w:name="_Toc133493196"/>
      <w:bookmarkStart w:id="538" w:name="_Toc133497830"/>
      <w:bookmarkStart w:id="539" w:name="_Toc133505550"/>
      <w:bookmarkStart w:id="540" w:name="_Toc133576449"/>
      <w:bookmarkStart w:id="541" w:name="_Toc133576482"/>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14:paraId="2FFEEFA0" w14:textId="77777777" w:rsidR="00770433" w:rsidRPr="00FC4688" w:rsidRDefault="00770433" w:rsidP="00770433">
      <w:pPr>
        <w:pStyle w:val="Prrafodelista"/>
        <w:keepNext/>
        <w:keepLines/>
        <w:numPr>
          <w:ilvl w:val="0"/>
          <w:numId w:val="12"/>
        </w:numPr>
        <w:spacing w:before="200"/>
        <w:contextualSpacing w:val="0"/>
        <w:outlineLvl w:val="1"/>
        <w:rPr>
          <w:rFonts w:eastAsiaTheme="majorEastAsia" w:cs="Times New Roman"/>
          <w:b/>
          <w:bCs/>
          <w:vanish/>
          <w:sz w:val="24"/>
          <w:szCs w:val="26"/>
          <w:lang w:val="es-ES_tradnl" w:eastAsia="es-ES"/>
        </w:rPr>
      </w:pPr>
      <w:bookmarkStart w:id="542" w:name="_Toc472082166"/>
      <w:bookmarkStart w:id="543" w:name="_Toc472082198"/>
      <w:bookmarkStart w:id="544" w:name="_Toc472089914"/>
      <w:bookmarkStart w:id="545" w:name="_Toc472089937"/>
      <w:bookmarkStart w:id="546" w:name="_Toc505346064"/>
      <w:bookmarkStart w:id="547" w:name="_Toc505349879"/>
      <w:bookmarkStart w:id="548" w:name="_Toc534985837"/>
      <w:bookmarkStart w:id="549" w:name="_Toc534988230"/>
      <w:bookmarkStart w:id="550" w:name="_Toc31611550"/>
      <w:bookmarkStart w:id="551" w:name="_Toc31612769"/>
      <w:bookmarkStart w:id="552" w:name="_Toc31612801"/>
      <w:bookmarkStart w:id="553" w:name="_Toc31614827"/>
      <w:bookmarkStart w:id="554" w:name="_Toc31614859"/>
      <w:bookmarkStart w:id="555" w:name="_Toc31618696"/>
      <w:bookmarkStart w:id="556" w:name="_Toc31618729"/>
      <w:bookmarkStart w:id="557" w:name="_Toc31624505"/>
      <w:bookmarkStart w:id="558" w:name="_Toc31625357"/>
      <w:bookmarkStart w:id="559" w:name="_Toc31626812"/>
      <w:bookmarkStart w:id="560" w:name="_Toc31811263"/>
      <w:bookmarkStart w:id="561" w:name="_Toc31811708"/>
      <w:bookmarkStart w:id="562" w:name="_Toc31971871"/>
      <w:bookmarkStart w:id="563" w:name="_Toc32230893"/>
      <w:bookmarkStart w:id="564" w:name="_Toc33109789"/>
      <w:bookmarkStart w:id="565" w:name="_Toc33109832"/>
      <w:bookmarkStart w:id="566" w:name="_Toc33180553"/>
      <w:bookmarkStart w:id="567" w:name="_Toc33180647"/>
      <w:bookmarkStart w:id="568" w:name="_Toc33193544"/>
      <w:bookmarkStart w:id="569" w:name="_Toc33193583"/>
      <w:bookmarkStart w:id="570" w:name="_Toc33196780"/>
      <w:bookmarkStart w:id="571" w:name="_Toc40691756"/>
      <w:bookmarkStart w:id="572" w:name="_Toc40959157"/>
      <w:bookmarkStart w:id="573" w:name="_Toc40975991"/>
      <w:bookmarkStart w:id="574" w:name="_Toc40976060"/>
      <w:bookmarkStart w:id="575" w:name="_Toc40993315"/>
      <w:bookmarkStart w:id="576" w:name="_Toc40993697"/>
      <w:bookmarkStart w:id="577" w:name="_Toc41037573"/>
      <w:bookmarkStart w:id="578" w:name="_Toc41254133"/>
      <w:bookmarkStart w:id="579" w:name="_Toc41254165"/>
      <w:bookmarkStart w:id="580" w:name="_Toc41254185"/>
      <w:bookmarkStart w:id="581" w:name="_Toc42023959"/>
      <w:bookmarkStart w:id="582" w:name="_Toc42024011"/>
      <w:bookmarkStart w:id="583" w:name="_Toc42069109"/>
      <w:bookmarkStart w:id="584" w:name="_Toc49422055"/>
      <w:bookmarkStart w:id="585" w:name="_Toc49422081"/>
      <w:bookmarkStart w:id="586" w:name="_Toc49430660"/>
      <w:bookmarkStart w:id="587" w:name="_Toc49430686"/>
      <w:bookmarkStart w:id="588" w:name="_Toc49750463"/>
      <w:bookmarkStart w:id="589" w:name="_Toc49750713"/>
      <w:bookmarkStart w:id="590" w:name="_Toc49750741"/>
      <w:bookmarkStart w:id="591" w:name="_Toc55284827"/>
      <w:bookmarkStart w:id="592" w:name="_Toc55298845"/>
      <w:bookmarkStart w:id="593" w:name="_Toc55373826"/>
      <w:bookmarkStart w:id="594" w:name="_Toc55373999"/>
      <w:bookmarkStart w:id="595" w:name="_Toc55375136"/>
      <w:bookmarkStart w:id="596" w:name="_Toc55396544"/>
      <w:bookmarkStart w:id="597" w:name="_Toc65230540"/>
      <w:bookmarkStart w:id="598" w:name="_Toc65230778"/>
      <w:bookmarkStart w:id="599" w:name="_Toc65232062"/>
      <w:bookmarkStart w:id="600" w:name="_Toc65232307"/>
      <w:bookmarkStart w:id="601" w:name="_Toc66716166"/>
      <w:bookmarkStart w:id="602" w:name="_Toc71097211"/>
      <w:bookmarkStart w:id="603" w:name="_Toc71097242"/>
      <w:bookmarkStart w:id="604" w:name="_Toc71097317"/>
      <w:bookmarkStart w:id="605" w:name="_Toc71108057"/>
      <w:bookmarkStart w:id="606" w:name="_Toc79055251"/>
      <w:bookmarkStart w:id="607" w:name="_Toc79055282"/>
      <w:bookmarkStart w:id="608" w:name="_Toc79060173"/>
      <w:bookmarkStart w:id="609" w:name="_Toc79060460"/>
      <w:bookmarkStart w:id="610" w:name="_Toc81307817"/>
      <w:bookmarkStart w:id="611" w:name="_Toc83376478"/>
      <w:bookmarkStart w:id="612" w:name="_Toc86386717"/>
      <w:bookmarkStart w:id="613" w:name="_Toc86405403"/>
      <w:bookmarkStart w:id="614" w:name="_Toc98162433"/>
      <w:bookmarkStart w:id="615" w:name="_Toc98162465"/>
      <w:bookmarkStart w:id="616" w:name="_Toc98234991"/>
      <w:bookmarkStart w:id="617" w:name="_Toc98235186"/>
      <w:bookmarkStart w:id="618" w:name="_Toc98235271"/>
      <w:bookmarkStart w:id="619" w:name="_Toc98757141"/>
      <w:bookmarkStart w:id="620" w:name="_Toc101874696"/>
      <w:bookmarkStart w:id="621" w:name="_Toc101954152"/>
      <w:bookmarkStart w:id="622" w:name="_Toc101971969"/>
      <w:bookmarkStart w:id="623" w:name="_Toc101974061"/>
      <w:bookmarkStart w:id="624" w:name="_Toc102039746"/>
      <w:bookmarkStart w:id="625" w:name="_Toc102039784"/>
      <w:bookmarkStart w:id="626" w:name="_Toc102039824"/>
      <w:bookmarkStart w:id="627" w:name="_Toc102039855"/>
      <w:bookmarkStart w:id="628" w:name="_Toc102040913"/>
      <w:bookmarkStart w:id="629" w:name="_Toc102477761"/>
      <w:bookmarkStart w:id="630" w:name="_Toc102477792"/>
      <w:bookmarkStart w:id="631" w:name="_Toc109824822"/>
      <w:bookmarkStart w:id="632" w:name="_Toc109828778"/>
      <w:bookmarkStart w:id="633" w:name="_Toc109828841"/>
      <w:bookmarkStart w:id="634" w:name="_Toc109829017"/>
      <w:bookmarkStart w:id="635" w:name="_Toc109829048"/>
      <w:bookmarkStart w:id="636" w:name="_Toc109833892"/>
      <w:bookmarkStart w:id="637" w:name="_Toc110237435"/>
      <w:bookmarkStart w:id="638" w:name="_Toc117775312"/>
      <w:bookmarkStart w:id="639" w:name="_Toc117781281"/>
      <w:bookmarkStart w:id="640" w:name="_Toc125620810"/>
      <w:bookmarkStart w:id="641" w:name="_Toc125620841"/>
      <w:bookmarkStart w:id="642" w:name="_Toc125620872"/>
      <w:bookmarkStart w:id="643" w:name="_Toc125620908"/>
      <w:bookmarkStart w:id="644" w:name="_Toc125620939"/>
      <w:bookmarkStart w:id="645" w:name="_Toc125620972"/>
      <w:bookmarkStart w:id="646" w:name="_Toc125621025"/>
      <w:bookmarkStart w:id="647" w:name="_Toc125621079"/>
      <w:bookmarkStart w:id="648" w:name="_Toc125623557"/>
      <w:bookmarkStart w:id="649" w:name="_Toc125623589"/>
      <w:bookmarkStart w:id="650" w:name="_Toc125623621"/>
      <w:bookmarkStart w:id="651" w:name="_Toc125970367"/>
      <w:bookmarkStart w:id="652" w:name="_Toc125970399"/>
      <w:bookmarkStart w:id="653" w:name="_Toc127365850"/>
      <w:bookmarkStart w:id="654" w:name="_Toc127434602"/>
      <w:bookmarkStart w:id="655" w:name="_Toc127436969"/>
      <w:bookmarkStart w:id="656" w:name="_Toc127437331"/>
      <w:bookmarkStart w:id="657" w:name="_Toc127437684"/>
      <w:bookmarkStart w:id="658" w:name="_Toc133492778"/>
      <w:bookmarkStart w:id="659" w:name="_Toc133492975"/>
      <w:bookmarkStart w:id="660" w:name="_Toc133493197"/>
      <w:bookmarkStart w:id="661" w:name="_Toc133497831"/>
      <w:bookmarkStart w:id="662" w:name="_Toc133505551"/>
      <w:bookmarkStart w:id="663" w:name="_Toc133576129"/>
      <w:bookmarkStart w:id="664" w:name="_Toc133576201"/>
      <w:bookmarkStart w:id="665" w:name="_Toc133576234"/>
      <w:bookmarkStart w:id="666" w:name="_Toc133576266"/>
      <w:bookmarkStart w:id="667" w:name="_Toc133576298"/>
      <w:bookmarkStart w:id="668" w:name="_Toc133576330"/>
      <w:bookmarkStart w:id="669" w:name="_Toc133576383"/>
      <w:bookmarkStart w:id="670" w:name="_Toc133576417"/>
      <w:bookmarkStart w:id="671" w:name="_Toc133576450"/>
      <w:bookmarkStart w:id="672" w:name="_Toc133576483"/>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0F095CD4" w14:textId="77777777" w:rsidR="005E3A61" w:rsidRPr="005E3A61" w:rsidRDefault="005E3A61" w:rsidP="005E3A61">
      <w:pPr>
        <w:pStyle w:val="Prrafodelista"/>
        <w:keepNext/>
        <w:keepLines/>
        <w:numPr>
          <w:ilvl w:val="0"/>
          <w:numId w:val="11"/>
        </w:numPr>
        <w:tabs>
          <w:tab w:val="left" w:pos="426"/>
        </w:tabs>
        <w:spacing w:after="120"/>
        <w:contextualSpacing w:val="0"/>
        <w:outlineLvl w:val="1"/>
        <w:rPr>
          <w:rFonts w:eastAsiaTheme="majorEastAsia" w:cs="Times New Roman"/>
          <w:b/>
          <w:bCs/>
          <w:vanish/>
          <w:sz w:val="24"/>
          <w:szCs w:val="26"/>
          <w:lang w:eastAsia="es-ES"/>
        </w:rPr>
      </w:pPr>
      <w:bookmarkStart w:id="673" w:name="_Toc127437685"/>
      <w:bookmarkStart w:id="674" w:name="_Toc133492779"/>
      <w:bookmarkStart w:id="675" w:name="_Toc133492976"/>
      <w:bookmarkStart w:id="676" w:name="_Toc133493198"/>
      <w:bookmarkStart w:id="677" w:name="_Toc133497832"/>
      <w:bookmarkStart w:id="678" w:name="_Toc133505552"/>
      <w:bookmarkStart w:id="679" w:name="_Toc133576130"/>
      <w:bookmarkStart w:id="680" w:name="_Toc133576202"/>
      <w:bookmarkStart w:id="681" w:name="_Toc133576235"/>
      <w:bookmarkStart w:id="682" w:name="_Toc133576267"/>
      <w:bookmarkStart w:id="683" w:name="_Toc133576299"/>
      <w:bookmarkStart w:id="684" w:name="_Toc133576331"/>
      <w:bookmarkStart w:id="685" w:name="_Toc133576384"/>
      <w:bookmarkStart w:id="686" w:name="_Toc133576418"/>
      <w:bookmarkStart w:id="687" w:name="_Toc133576451"/>
      <w:bookmarkStart w:id="688" w:name="_Toc133576484"/>
      <w:bookmarkStart w:id="689" w:name="_Toc125970400"/>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14:paraId="4973411E" w14:textId="16A015FB" w:rsidR="005B5A6B" w:rsidRDefault="00FB1DA1" w:rsidP="005B5A6B">
      <w:pPr>
        <w:pStyle w:val="Ttulo2"/>
        <w:numPr>
          <w:ilvl w:val="1"/>
          <w:numId w:val="11"/>
        </w:numPr>
        <w:tabs>
          <w:tab w:val="left" w:pos="426"/>
        </w:tabs>
        <w:spacing w:before="0"/>
        <w:rPr>
          <w:rFonts w:ascii="Times New Roman" w:hAnsi="Times New Roman" w:cs="Times New Roman"/>
          <w:color w:val="auto"/>
          <w:sz w:val="24"/>
          <w:lang w:val="es-ES_tradnl"/>
        </w:rPr>
      </w:pPr>
      <w:r>
        <w:rPr>
          <w:rFonts w:ascii="Times New Roman" w:hAnsi="Times New Roman" w:cs="Times New Roman"/>
          <w:color w:val="auto"/>
          <w:sz w:val="24"/>
          <w:lang w:val="es-ES_tradnl"/>
        </w:rPr>
        <w:t xml:space="preserve"> </w:t>
      </w:r>
      <w:bookmarkStart w:id="690" w:name="_Toc133576485"/>
      <w:r w:rsidR="004C202D">
        <w:rPr>
          <w:rFonts w:ascii="Times New Roman" w:hAnsi="Times New Roman" w:cs="Times New Roman"/>
          <w:color w:val="auto"/>
          <w:sz w:val="24"/>
        </w:rPr>
        <w:t xml:space="preserve">El Gasto </w:t>
      </w:r>
      <w:bookmarkEnd w:id="689"/>
      <w:r w:rsidR="004C202D">
        <w:rPr>
          <w:rFonts w:ascii="Times New Roman" w:hAnsi="Times New Roman" w:cs="Times New Roman"/>
          <w:color w:val="auto"/>
          <w:sz w:val="24"/>
        </w:rPr>
        <w:t xml:space="preserve">ha sido muy </w:t>
      </w:r>
      <w:r w:rsidR="004C202D" w:rsidRPr="000E79C1">
        <w:rPr>
          <w:rFonts w:ascii="Times New Roman" w:hAnsi="Times New Roman" w:cs="Times New Roman"/>
          <w:color w:val="auto"/>
          <w:sz w:val="24"/>
          <w:lang w:val="es-ES_tradnl"/>
        </w:rPr>
        <w:t>dinámico</w:t>
      </w:r>
      <w:bookmarkEnd w:id="690"/>
    </w:p>
    <w:p w14:paraId="2954706E" w14:textId="029F1675" w:rsidR="00362CC3" w:rsidRDefault="005B5A6B" w:rsidP="00362CC3">
      <w:pPr>
        <w:rPr>
          <w:rFonts w:cs="Times New Roman"/>
          <w:szCs w:val="22"/>
        </w:rPr>
      </w:pPr>
      <w:bookmarkStart w:id="691" w:name="_Toc133576233"/>
      <w:r w:rsidRPr="00FC4688">
        <w:rPr>
          <w:rFonts w:cs="Times New Roman"/>
          <w:noProof/>
          <w:lang w:eastAsia="es-GT"/>
        </w:rPr>
        <w:drawing>
          <wp:anchor distT="0" distB="0" distL="114300" distR="114300" simplePos="0" relativeHeight="251677700" behindDoc="0" locked="0" layoutInCell="1" allowOverlap="1" wp14:anchorId="71BF6F69" wp14:editId="193431FB">
            <wp:simplePos x="0" y="0"/>
            <wp:positionH relativeFrom="margin">
              <wp:align>right</wp:align>
            </wp:positionH>
            <wp:positionV relativeFrom="paragraph">
              <wp:posOffset>91250</wp:posOffset>
            </wp:positionV>
            <wp:extent cx="2940050" cy="2510790"/>
            <wp:effectExtent l="0" t="0" r="0" b="3810"/>
            <wp:wrapSquare wrapText="bothSides"/>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bookmarkEnd w:id="691"/>
      <w:r w:rsidR="00362CC3">
        <w:rPr>
          <w:rFonts w:cs="Times New Roman"/>
          <w:szCs w:val="22"/>
        </w:rPr>
        <w:t xml:space="preserve">El gasto público correspondiente al primer trimestre de 2023 ascendió a Q23,863.1 </w:t>
      </w:r>
      <w:r w:rsidR="00362CC3" w:rsidRPr="00DB556E">
        <w:rPr>
          <w:rFonts w:cs="Times New Roman"/>
          <w:szCs w:val="22"/>
        </w:rPr>
        <w:t xml:space="preserve">millones, </w:t>
      </w:r>
      <w:r w:rsidR="00DA5440">
        <w:rPr>
          <w:rFonts w:cs="Times New Roman"/>
          <w:szCs w:val="22"/>
        </w:rPr>
        <w:t xml:space="preserve">y cabe mencionar </w:t>
      </w:r>
      <w:r w:rsidR="006E2B1A">
        <w:rPr>
          <w:rFonts w:cs="Times New Roman"/>
          <w:szCs w:val="22"/>
        </w:rPr>
        <w:t xml:space="preserve">entre enero y marzo se observa un aumento en </w:t>
      </w:r>
      <w:r w:rsidR="00DA5440">
        <w:rPr>
          <w:rFonts w:cs="Times New Roman"/>
          <w:szCs w:val="22"/>
        </w:rPr>
        <w:t>el dinamismo</w:t>
      </w:r>
      <w:r w:rsidR="006E2B1A">
        <w:rPr>
          <w:rFonts w:cs="Times New Roman"/>
          <w:szCs w:val="22"/>
        </w:rPr>
        <w:t xml:space="preserve"> del gasto,</w:t>
      </w:r>
      <w:r w:rsidR="00DA5440">
        <w:rPr>
          <w:rFonts w:cs="Times New Roman"/>
          <w:szCs w:val="22"/>
        </w:rPr>
        <w:t xml:space="preserve"> </w:t>
      </w:r>
      <w:r w:rsidR="006E2B1A">
        <w:rPr>
          <w:rFonts w:cs="Times New Roman"/>
          <w:szCs w:val="22"/>
        </w:rPr>
        <w:t>pasando de tener un crecimiento del 15.7% (Q</w:t>
      </w:r>
      <w:r w:rsidR="006E2B1A" w:rsidRPr="006E2B1A">
        <w:rPr>
          <w:rFonts w:cs="Times New Roman"/>
          <w:szCs w:val="22"/>
        </w:rPr>
        <w:t>986.2</w:t>
      </w:r>
      <w:r w:rsidR="006E2B1A">
        <w:rPr>
          <w:rFonts w:cs="Times New Roman"/>
          <w:szCs w:val="22"/>
        </w:rPr>
        <w:t xml:space="preserve"> millones) en el primer mes del año, al 17.0% (Q</w:t>
      </w:r>
      <w:r w:rsidR="006E2B1A" w:rsidRPr="006E2B1A">
        <w:rPr>
          <w:rFonts w:cs="Times New Roman"/>
          <w:szCs w:val="22"/>
        </w:rPr>
        <w:t>2,249.6</w:t>
      </w:r>
      <w:r w:rsidR="006E2B1A">
        <w:rPr>
          <w:rFonts w:cs="Times New Roman"/>
          <w:szCs w:val="22"/>
        </w:rPr>
        <w:t xml:space="preserve"> millones) en febrero y en marzo del 17.7</w:t>
      </w:r>
      <w:r w:rsidR="006E2B1A" w:rsidRPr="00DB556E">
        <w:rPr>
          <w:rFonts w:cs="Times New Roman"/>
          <w:szCs w:val="22"/>
        </w:rPr>
        <w:t>% (Q</w:t>
      </w:r>
      <w:r w:rsidR="006E2B1A">
        <w:rPr>
          <w:rFonts w:cs="Times New Roman"/>
          <w:szCs w:val="22"/>
        </w:rPr>
        <w:t>3,589.7</w:t>
      </w:r>
      <w:r w:rsidR="006E2B1A" w:rsidRPr="00DB556E">
        <w:rPr>
          <w:rFonts w:cs="Times New Roman"/>
          <w:szCs w:val="22"/>
        </w:rPr>
        <w:t xml:space="preserve"> millones)</w:t>
      </w:r>
      <w:r w:rsidR="006E2B1A">
        <w:rPr>
          <w:rFonts w:cs="Times New Roman"/>
          <w:szCs w:val="22"/>
        </w:rPr>
        <w:t xml:space="preserve">, alcanzando de esta manera un </w:t>
      </w:r>
      <w:r w:rsidR="00362CC3">
        <w:rPr>
          <w:rFonts w:cs="Times New Roman"/>
          <w:szCs w:val="22"/>
        </w:rPr>
        <w:t xml:space="preserve">comportamiento </w:t>
      </w:r>
      <w:r w:rsidR="00DA5440">
        <w:rPr>
          <w:rFonts w:cs="Times New Roman"/>
          <w:szCs w:val="22"/>
        </w:rPr>
        <w:t>similar</w:t>
      </w:r>
      <w:r w:rsidR="006E2B1A">
        <w:rPr>
          <w:rFonts w:cs="Times New Roman"/>
          <w:szCs w:val="22"/>
        </w:rPr>
        <w:t xml:space="preserve"> al observado el año previo</w:t>
      </w:r>
      <w:r w:rsidR="00DA5440">
        <w:rPr>
          <w:rFonts w:cs="Times New Roman"/>
          <w:szCs w:val="22"/>
        </w:rPr>
        <w:t xml:space="preserve">, </w:t>
      </w:r>
      <w:r w:rsidR="006E2B1A">
        <w:rPr>
          <w:rFonts w:cs="Times New Roman"/>
          <w:szCs w:val="22"/>
        </w:rPr>
        <w:t xml:space="preserve">cuando se obtuvo un crecimiento del </w:t>
      </w:r>
      <w:r w:rsidR="00362CC3">
        <w:rPr>
          <w:rFonts w:cs="Times New Roman"/>
          <w:szCs w:val="22"/>
        </w:rPr>
        <w:t xml:space="preserve">17.8% </w:t>
      </w:r>
      <w:r w:rsidR="006E2B1A">
        <w:rPr>
          <w:rFonts w:cs="Times New Roman"/>
          <w:szCs w:val="22"/>
        </w:rPr>
        <w:t>(</w:t>
      </w:r>
      <w:r w:rsidR="00362CC3">
        <w:rPr>
          <w:rFonts w:cs="Times New Roman"/>
          <w:szCs w:val="22"/>
        </w:rPr>
        <w:t>Q3,062.8 millones</w:t>
      </w:r>
      <w:r w:rsidR="006E2B1A">
        <w:rPr>
          <w:rFonts w:cs="Times New Roman"/>
          <w:szCs w:val="22"/>
        </w:rPr>
        <w:t>)</w:t>
      </w:r>
      <w:r w:rsidR="0042467B">
        <w:rPr>
          <w:rFonts w:cs="Times New Roman"/>
          <w:szCs w:val="22"/>
        </w:rPr>
        <w:t xml:space="preserve"> en el primer trimestre</w:t>
      </w:r>
      <w:r w:rsidR="00DA5440">
        <w:rPr>
          <w:rFonts w:cs="Times New Roman"/>
          <w:szCs w:val="22"/>
        </w:rPr>
        <w:t>.</w:t>
      </w:r>
    </w:p>
    <w:p w14:paraId="2769F385" w14:textId="77777777" w:rsidR="00362CC3" w:rsidRPr="00DB556E" w:rsidRDefault="00362CC3" w:rsidP="00362CC3">
      <w:pPr>
        <w:rPr>
          <w:rFonts w:cs="Times New Roman"/>
          <w:szCs w:val="22"/>
        </w:rPr>
      </w:pPr>
    </w:p>
    <w:p w14:paraId="26AFFAB4" w14:textId="353359CA" w:rsidR="00362CC3" w:rsidRDefault="00362CC3" w:rsidP="00362CC3">
      <w:r w:rsidRPr="0019376F">
        <w:rPr>
          <w:rFonts w:cs="Times New Roman"/>
          <w:szCs w:val="22"/>
        </w:rPr>
        <w:t>La cuenta económica que</w:t>
      </w:r>
      <w:r w:rsidR="006E2B1A">
        <w:rPr>
          <w:rFonts w:cs="Times New Roman"/>
          <w:szCs w:val="22"/>
        </w:rPr>
        <w:t xml:space="preserve"> ha</w:t>
      </w:r>
      <w:r w:rsidRPr="0019376F">
        <w:rPr>
          <w:rFonts w:cs="Times New Roman"/>
          <w:szCs w:val="22"/>
        </w:rPr>
        <w:t xml:space="preserve"> </w:t>
      </w:r>
      <w:r>
        <w:rPr>
          <w:rFonts w:cs="Times New Roman"/>
          <w:szCs w:val="22"/>
        </w:rPr>
        <w:t>mostr</w:t>
      </w:r>
      <w:r w:rsidR="006E2B1A">
        <w:rPr>
          <w:rFonts w:cs="Times New Roman"/>
          <w:szCs w:val="22"/>
        </w:rPr>
        <w:t>ado</w:t>
      </w:r>
      <w:r w:rsidRPr="0019376F">
        <w:rPr>
          <w:rFonts w:cs="Times New Roman"/>
          <w:szCs w:val="22"/>
        </w:rPr>
        <w:t xml:space="preserve"> un mayor incremento</w:t>
      </w:r>
      <w:r w:rsidR="006E2B1A">
        <w:rPr>
          <w:rFonts w:cs="Times New Roman"/>
          <w:szCs w:val="22"/>
        </w:rPr>
        <w:t xml:space="preserve"> en el transcurso del primer trimestre </w:t>
      </w:r>
      <w:r w:rsidRPr="0019376F">
        <w:rPr>
          <w:rFonts w:cs="Times New Roman"/>
          <w:szCs w:val="22"/>
        </w:rPr>
        <w:t xml:space="preserve">fue el </w:t>
      </w:r>
      <w:r w:rsidR="0042467B">
        <w:rPr>
          <w:rFonts w:cs="Times New Roman"/>
          <w:szCs w:val="22"/>
        </w:rPr>
        <w:t>u</w:t>
      </w:r>
      <w:r w:rsidR="0042467B" w:rsidRPr="0019376F">
        <w:rPr>
          <w:rFonts w:cs="Times New Roman"/>
          <w:szCs w:val="22"/>
        </w:rPr>
        <w:t xml:space="preserve">so de </w:t>
      </w:r>
      <w:r w:rsidR="0042467B">
        <w:rPr>
          <w:rFonts w:cs="Times New Roman"/>
          <w:szCs w:val="22"/>
        </w:rPr>
        <w:t>b</w:t>
      </w:r>
      <w:r w:rsidR="0042467B" w:rsidRPr="0019376F">
        <w:rPr>
          <w:rFonts w:cs="Times New Roman"/>
          <w:szCs w:val="22"/>
        </w:rPr>
        <w:t xml:space="preserve">ienes y </w:t>
      </w:r>
      <w:r w:rsidR="0042467B">
        <w:rPr>
          <w:rFonts w:cs="Times New Roman"/>
          <w:szCs w:val="22"/>
        </w:rPr>
        <w:t>s</w:t>
      </w:r>
      <w:r w:rsidR="0042467B" w:rsidRPr="0019376F">
        <w:rPr>
          <w:rFonts w:cs="Times New Roman"/>
          <w:szCs w:val="22"/>
        </w:rPr>
        <w:t xml:space="preserve">ervicios </w:t>
      </w:r>
      <w:r w:rsidR="006E2B1A">
        <w:rPr>
          <w:rFonts w:cs="Times New Roman"/>
          <w:szCs w:val="22"/>
        </w:rPr>
        <w:t xml:space="preserve">los cuales han </w:t>
      </w:r>
      <w:r w:rsidRPr="0019376F">
        <w:rPr>
          <w:rFonts w:cs="Times New Roman"/>
          <w:szCs w:val="22"/>
        </w:rPr>
        <w:t>ascendi</w:t>
      </w:r>
      <w:r w:rsidR="006E2B1A">
        <w:rPr>
          <w:rFonts w:cs="Times New Roman"/>
          <w:szCs w:val="22"/>
        </w:rPr>
        <w:t>do</w:t>
      </w:r>
      <w:r w:rsidRPr="0019376F">
        <w:rPr>
          <w:rFonts w:cs="Times New Roman"/>
          <w:szCs w:val="22"/>
        </w:rPr>
        <w:t xml:space="preserve"> a Q3,404.8 millones</w:t>
      </w:r>
      <w:r w:rsidR="000F794A">
        <w:rPr>
          <w:rFonts w:cs="Times New Roman"/>
          <w:szCs w:val="22"/>
        </w:rPr>
        <w:t>,</w:t>
      </w:r>
      <w:r w:rsidR="006E2B1A">
        <w:rPr>
          <w:rFonts w:cs="Times New Roman"/>
          <w:szCs w:val="22"/>
        </w:rPr>
        <w:t xml:space="preserve"> </w:t>
      </w:r>
      <w:r w:rsidR="000F794A">
        <w:rPr>
          <w:rFonts w:cs="Times New Roman"/>
          <w:szCs w:val="22"/>
        </w:rPr>
        <w:t>mostrando</w:t>
      </w:r>
      <w:r w:rsidR="006E2B1A">
        <w:rPr>
          <w:rFonts w:cs="Times New Roman"/>
          <w:szCs w:val="22"/>
        </w:rPr>
        <w:t xml:space="preserve"> un</w:t>
      </w:r>
      <w:r w:rsidRPr="0019376F">
        <w:rPr>
          <w:rFonts w:cs="Times New Roman"/>
          <w:szCs w:val="22"/>
        </w:rPr>
        <w:t xml:space="preserve"> incremento interanual de</w:t>
      </w:r>
      <w:r w:rsidR="006E2B1A">
        <w:rPr>
          <w:rFonts w:cs="Times New Roman"/>
          <w:szCs w:val="22"/>
        </w:rPr>
        <w:t>l</w:t>
      </w:r>
      <w:r w:rsidRPr="0019376F">
        <w:rPr>
          <w:rFonts w:cs="Times New Roman"/>
          <w:szCs w:val="22"/>
        </w:rPr>
        <w:t xml:space="preserve"> 37.2% (Q923.3 millones)</w:t>
      </w:r>
      <w:r w:rsidR="006E2B1A">
        <w:rPr>
          <w:rFonts w:cs="Times New Roman"/>
          <w:szCs w:val="22"/>
        </w:rPr>
        <w:t>. El aumento en esta cuenta</w:t>
      </w:r>
      <w:r w:rsidR="000F794A">
        <w:rPr>
          <w:rFonts w:cs="Times New Roman"/>
          <w:szCs w:val="22"/>
        </w:rPr>
        <w:t>,</w:t>
      </w:r>
      <w:r w:rsidR="006E2B1A">
        <w:rPr>
          <w:rFonts w:cs="Times New Roman"/>
          <w:szCs w:val="22"/>
        </w:rPr>
        <w:t xml:space="preserve"> es</w:t>
      </w:r>
      <w:r>
        <w:rPr>
          <w:rFonts w:cs="Times New Roman"/>
          <w:szCs w:val="22"/>
        </w:rPr>
        <w:t xml:space="preserve"> </w:t>
      </w:r>
      <w:r w:rsidRPr="0026721B">
        <w:t xml:space="preserve">explicado principalmente por </w:t>
      </w:r>
      <w:r w:rsidR="006E2B1A">
        <w:t>el gasto</w:t>
      </w:r>
      <w:r w:rsidRPr="0026721B">
        <w:t xml:space="preserve"> del Ministerio de Comunicaciones, Infraestructura y </w:t>
      </w:r>
      <w:r w:rsidR="003913A1" w:rsidRPr="0026721B">
        <w:t xml:space="preserve">Vivienda </w:t>
      </w:r>
      <w:r w:rsidR="006E2B1A">
        <w:t>en</w:t>
      </w:r>
      <w:r w:rsidR="003913A1">
        <w:t xml:space="preserve"> el</w:t>
      </w:r>
      <w:r w:rsidR="006E2B1A">
        <w:t xml:space="preserve"> M</w:t>
      </w:r>
      <w:r>
        <w:t xml:space="preserve">antenimiento y </w:t>
      </w:r>
      <w:r w:rsidR="006E2B1A">
        <w:t>R</w:t>
      </w:r>
      <w:r>
        <w:t xml:space="preserve">eparación de </w:t>
      </w:r>
      <w:r w:rsidR="006E2B1A">
        <w:t>B</w:t>
      </w:r>
      <w:r>
        <w:t xml:space="preserve">ienes </w:t>
      </w:r>
      <w:r w:rsidR="006E2B1A">
        <w:t>N</w:t>
      </w:r>
      <w:r>
        <w:t xml:space="preserve">acionales de </w:t>
      </w:r>
      <w:r w:rsidR="006E2B1A">
        <w:t>U</w:t>
      </w:r>
      <w:r>
        <w:t xml:space="preserve">so </w:t>
      </w:r>
      <w:r w:rsidR="006E2B1A">
        <w:t>C</w:t>
      </w:r>
      <w:r>
        <w:t>omún</w:t>
      </w:r>
      <w:r w:rsidR="006E2B1A">
        <w:t xml:space="preserve"> (</w:t>
      </w:r>
      <w:r w:rsidR="006E2B1A" w:rsidRPr="006E2B1A">
        <w:t>como carreteras y puentes, en accesorios y repuestos en general y los servicios de ingeniería, arquitectura y supervisión de obras</w:t>
      </w:r>
      <w:r w:rsidR="006E2B1A">
        <w:t>)</w:t>
      </w:r>
      <w:r>
        <w:t xml:space="preserve"> que </w:t>
      </w:r>
      <w:r w:rsidR="003913A1">
        <w:t>se incrementó en</w:t>
      </w:r>
      <w:r w:rsidR="006E2B1A">
        <w:t xml:space="preserve"> </w:t>
      </w:r>
      <w:r>
        <w:t>Q732.9 millones</w:t>
      </w:r>
      <w:r w:rsidR="003913A1">
        <w:t>.</w:t>
      </w:r>
    </w:p>
    <w:p w14:paraId="48318682" w14:textId="77777777" w:rsidR="00362CC3" w:rsidRDefault="00362CC3" w:rsidP="00362CC3"/>
    <w:p w14:paraId="2F020F21" w14:textId="78923808" w:rsidR="00362CC3" w:rsidRDefault="002B316B" w:rsidP="00362CC3">
      <w:r>
        <w:t>L</w:t>
      </w:r>
      <w:r w:rsidR="00362CC3">
        <w:t xml:space="preserve">as remuneraciones a los empleados mostraron el segundo </w:t>
      </w:r>
      <w:r w:rsidR="000F794A">
        <w:t xml:space="preserve">aumento </w:t>
      </w:r>
      <w:r w:rsidR="00F20224">
        <w:t>en importancia</w:t>
      </w:r>
      <w:r>
        <w:t xml:space="preserve">, teniendo una ejecución de </w:t>
      </w:r>
      <w:r w:rsidR="00362CC3">
        <w:t>Q8,197.7 millones</w:t>
      </w:r>
      <w:r w:rsidR="000F794A">
        <w:t>,</w:t>
      </w:r>
      <w:r>
        <w:t xml:space="preserve"> con un</w:t>
      </w:r>
      <w:r w:rsidR="00362CC3">
        <w:t xml:space="preserve"> crecimiento de</w:t>
      </w:r>
      <w:r w:rsidR="0042467B">
        <w:t>l</w:t>
      </w:r>
      <w:r w:rsidR="00362CC3">
        <w:t xml:space="preserve"> 10.2% (Q758.1 millo</w:t>
      </w:r>
      <w:r w:rsidR="00362CC3" w:rsidRPr="00C23810">
        <w:t>nes), explicado principalmente por</w:t>
      </w:r>
      <w:r w:rsidR="00362CC3">
        <w:t xml:space="preserve"> los sueldos y salarios de los Ministerios de Educación, de la Defensa Nacional y de Gobernación, con incrementos de Q286.5 millones, Q95.4 millones y Q68.2 millones, respectivamente.</w:t>
      </w:r>
    </w:p>
    <w:p w14:paraId="7D0B4006" w14:textId="77777777" w:rsidR="00362CC3" w:rsidRDefault="00362CC3" w:rsidP="00362CC3"/>
    <w:p w14:paraId="70E8855B" w14:textId="5D58A8A0" w:rsidR="00DC3537" w:rsidRDefault="00BF20CD" w:rsidP="00107B97">
      <w:pPr>
        <w:tabs>
          <w:tab w:val="left" w:pos="1803"/>
        </w:tabs>
        <w:rPr>
          <w:rFonts w:cs="Times New Roman"/>
          <w:szCs w:val="22"/>
        </w:rPr>
      </w:pPr>
      <w:r w:rsidRPr="00FC4688">
        <w:rPr>
          <w:rFonts w:cs="Times New Roman"/>
          <w:noProof/>
          <w:szCs w:val="22"/>
          <w:lang w:eastAsia="es-GT"/>
        </w:rPr>
        <w:drawing>
          <wp:inline distT="0" distB="0" distL="0" distR="0" wp14:anchorId="7B243B22" wp14:editId="59DCD550">
            <wp:extent cx="5960745" cy="2442949"/>
            <wp:effectExtent l="0" t="0" r="190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5B01EE" w:rsidRPr="005B01EE">
        <w:rPr>
          <w:rFonts w:cs="Times New Roman"/>
          <w:szCs w:val="22"/>
        </w:rPr>
        <w:t xml:space="preserve"> </w:t>
      </w:r>
    </w:p>
    <w:p w14:paraId="79C071FA" w14:textId="075E4AF5" w:rsidR="007220CD" w:rsidRDefault="007220CD" w:rsidP="007220CD">
      <w:r>
        <w:lastRenderedPageBreak/>
        <w:t xml:space="preserve">Asimismo, las donaciones mostraron el tercer </w:t>
      </w:r>
      <w:r w:rsidR="000F794A">
        <w:t>aumento</w:t>
      </w:r>
      <w:r>
        <w:t xml:space="preserve"> más representativo dentro del gasto, al alcanzar </w:t>
      </w:r>
      <w:r w:rsidR="002B316B">
        <w:t>una ejecución</w:t>
      </w:r>
      <w:r>
        <w:t xml:space="preserve"> de Q5,998.0 millones</w:t>
      </w:r>
      <w:r w:rsidR="0042467B">
        <w:t xml:space="preserve"> y teniendo una </w:t>
      </w:r>
      <w:r>
        <w:t>tasa de variación interanual de</w:t>
      </w:r>
      <w:r w:rsidR="0042467B">
        <w:t>l</w:t>
      </w:r>
      <w:r>
        <w:t xml:space="preserve"> 11.5% (Q617.2 millones), influenciado en mayor medida por las donaciones </w:t>
      </w:r>
      <w:r w:rsidR="0042467B">
        <w:t xml:space="preserve"> a cargo de las</w:t>
      </w:r>
      <w:r>
        <w:t xml:space="preserve"> </w:t>
      </w:r>
      <w:r w:rsidRPr="007F6037">
        <w:t xml:space="preserve">Obligaciones del Estado </w:t>
      </w:r>
      <w:r>
        <w:t>a</w:t>
      </w:r>
      <w:r w:rsidRPr="007F6037">
        <w:t xml:space="preserve"> Cargo </w:t>
      </w:r>
      <w:r>
        <w:t>d</w:t>
      </w:r>
      <w:r w:rsidRPr="007F6037">
        <w:t>el Tesoro</w:t>
      </w:r>
      <w:r>
        <w:t xml:space="preserve"> </w:t>
      </w:r>
      <w:r w:rsidR="0042467B">
        <w:t>con las</w:t>
      </w:r>
      <w:r>
        <w:t xml:space="preserve"> transferencias a Municipalidades, Consejos de Desarrollo Urbano y Rural y al Organismo Judicial, principalmente, </w:t>
      </w:r>
      <w:r w:rsidR="002B316B">
        <w:t>los cuales tuvieron un incremento</w:t>
      </w:r>
      <w:r>
        <w:t xml:space="preserve"> de Q313.1 millones, Q198.3 millones y Q105.3 millones, respectivamente.</w:t>
      </w:r>
    </w:p>
    <w:p w14:paraId="5B981134" w14:textId="77777777" w:rsidR="007220CD" w:rsidRDefault="007220CD" w:rsidP="007220CD"/>
    <w:p w14:paraId="48947DB1" w14:textId="620C219B" w:rsidR="007220CD" w:rsidRPr="00362CC3" w:rsidRDefault="007220CD" w:rsidP="007220CD">
      <w:r>
        <w:t>Por otro lado, los intereses alcanzaron el monto de Q2,662.1 millones que representa una tasa de variación interanual de</w:t>
      </w:r>
      <w:r w:rsidR="0042467B">
        <w:t>l</w:t>
      </w:r>
      <w:r>
        <w:t xml:space="preserve"> 29.5% (Q607.1 millones)</w:t>
      </w:r>
      <w:r w:rsidR="002B316B">
        <w:t xml:space="preserve"> mientras que</w:t>
      </w:r>
      <w:r>
        <w:t xml:space="preserve"> los </w:t>
      </w:r>
      <w:r w:rsidR="0042467B">
        <w:t xml:space="preserve">otros gastos </w:t>
      </w:r>
      <w:r w:rsidR="002B316B">
        <w:t xml:space="preserve">se situaron en </w:t>
      </w:r>
      <w:r>
        <w:t>Q1,812.2 millones, con tasa de crecimiento de</w:t>
      </w:r>
      <w:r w:rsidR="002B316B">
        <w:t>l</w:t>
      </w:r>
      <w:r>
        <w:t xml:space="preserve"> 27.9% (Q395.0 millones)</w:t>
      </w:r>
      <w:r w:rsidR="002B316B">
        <w:t xml:space="preserve"> seguido de las</w:t>
      </w:r>
      <w:r>
        <w:t xml:space="preserve"> Prestaciones sociales </w:t>
      </w:r>
      <w:r w:rsidR="002B316B">
        <w:t xml:space="preserve">con un monto acumulado de </w:t>
      </w:r>
      <w:r>
        <w:t>Q1,620.0 millones</w:t>
      </w:r>
      <w:r w:rsidR="002B316B">
        <w:t xml:space="preserve"> y</w:t>
      </w:r>
      <w:r>
        <w:t xml:space="preserve"> mostrando variación interanual de</w:t>
      </w:r>
      <w:r w:rsidR="002B316B">
        <w:t>l</w:t>
      </w:r>
      <w:r>
        <w:t xml:space="preserve"> 20.0% (Q270.2 millones)</w:t>
      </w:r>
      <w:r w:rsidR="0042467B">
        <w:t>. P</w:t>
      </w:r>
      <w:r>
        <w:t>or último, los Subsidios mostraron el menor crecimiento del periodo llegando a Q168.4 millones que representa</w:t>
      </w:r>
      <w:r w:rsidR="0042467B">
        <w:t xml:space="preserve"> un</w:t>
      </w:r>
      <w:r>
        <w:t xml:space="preserve"> crecimiento de 12.6% (Q18.8 millones).</w:t>
      </w:r>
    </w:p>
    <w:p w14:paraId="0F299060" w14:textId="77777777" w:rsidR="007220CD" w:rsidRDefault="007220CD" w:rsidP="00107B97">
      <w:pPr>
        <w:tabs>
          <w:tab w:val="left" w:pos="1803"/>
        </w:tabs>
        <w:rPr>
          <w:rFonts w:cs="Times New Roman"/>
          <w:szCs w:val="22"/>
        </w:rPr>
      </w:pPr>
    </w:p>
    <w:p w14:paraId="4E1E7B91" w14:textId="77777777" w:rsidR="008B2529" w:rsidRPr="00FC4688" w:rsidRDefault="006122C1" w:rsidP="008B2529">
      <w:pPr>
        <w:pStyle w:val="Prrafodelista"/>
        <w:numPr>
          <w:ilvl w:val="0"/>
          <w:numId w:val="1"/>
        </w:numPr>
        <w:ind w:left="426" w:hanging="426"/>
        <w:outlineLvl w:val="0"/>
        <w:rPr>
          <w:rFonts w:cs="Times New Roman"/>
          <w:b/>
          <w:sz w:val="24"/>
          <w:lang w:val="es-MX"/>
        </w:rPr>
      </w:pPr>
      <w:bookmarkStart w:id="692" w:name="_Toc42023961"/>
      <w:bookmarkStart w:id="693" w:name="_Toc42024013"/>
      <w:bookmarkStart w:id="694" w:name="_Toc133576486"/>
      <w:bookmarkStart w:id="695" w:name="_Toc411347499"/>
      <w:bookmarkEnd w:id="692"/>
      <w:bookmarkEnd w:id="693"/>
      <w:r w:rsidRPr="00FC4688">
        <w:rPr>
          <w:rFonts w:cs="Times New Roman"/>
          <w:b/>
          <w:sz w:val="24"/>
          <w:lang w:val="es-MX"/>
        </w:rPr>
        <w:t xml:space="preserve">Transacciones en Activos </w:t>
      </w:r>
      <w:r w:rsidR="00F4077C" w:rsidRPr="00FC4688">
        <w:rPr>
          <w:rFonts w:cs="Times New Roman"/>
          <w:b/>
          <w:sz w:val="24"/>
          <w:lang w:val="es-MX"/>
        </w:rPr>
        <w:t>No Financieros</w:t>
      </w:r>
      <w:bookmarkEnd w:id="694"/>
    </w:p>
    <w:p w14:paraId="0277483D" w14:textId="77777777" w:rsidR="00A72A8F" w:rsidRPr="00FC4688" w:rsidRDefault="006E4C13" w:rsidP="00C17472">
      <w:pPr>
        <w:rPr>
          <w:rFonts w:cs="Times New Roman"/>
          <w:sz w:val="24"/>
          <w:lang w:val="es-MX"/>
        </w:rPr>
      </w:pPr>
      <w:r w:rsidRPr="00FC4688">
        <w:rPr>
          <w:rFonts w:eastAsiaTheme="majorEastAsia"/>
          <w:noProof/>
          <w:lang w:eastAsia="es-GT"/>
        </w:rPr>
        <w:drawing>
          <wp:inline distT="0" distB="0" distL="0" distR="0" wp14:anchorId="442F73B6" wp14:editId="7EFD020C">
            <wp:extent cx="5836920" cy="876300"/>
            <wp:effectExtent l="76200" t="38100" r="87630" b="133350"/>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51B087A" w14:textId="77777777" w:rsidR="00A72A8F" w:rsidRPr="00FC4688" w:rsidRDefault="00A72A8F" w:rsidP="00A72A8F">
      <w:pPr>
        <w:pStyle w:val="Prrafodelista"/>
        <w:keepNext/>
        <w:keepLines/>
        <w:numPr>
          <w:ilvl w:val="0"/>
          <w:numId w:val="12"/>
        </w:numPr>
        <w:contextualSpacing w:val="0"/>
        <w:outlineLvl w:val="1"/>
        <w:rPr>
          <w:rFonts w:eastAsiaTheme="majorEastAsia" w:cs="Times New Roman"/>
          <w:b/>
          <w:bCs/>
          <w:vanish/>
          <w:sz w:val="24"/>
          <w:szCs w:val="26"/>
          <w:lang w:val="es-ES_tradnl" w:eastAsia="es-ES"/>
        </w:rPr>
      </w:pPr>
      <w:bookmarkStart w:id="696" w:name="_Toc33109793"/>
      <w:bookmarkStart w:id="697" w:name="_Toc33109836"/>
      <w:bookmarkStart w:id="698" w:name="_Toc33180557"/>
      <w:bookmarkStart w:id="699" w:name="_Toc33180651"/>
      <w:bookmarkStart w:id="700" w:name="_Toc33193548"/>
      <w:bookmarkStart w:id="701" w:name="_Toc33193587"/>
      <w:bookmarkStart w:id="702" w:name="_Toc33196784"/>
      <w:bookmarkStart w:id="703" w:name="_Toc40691760"/>
      <w:bookmarkStart w:id="704" w:name="_Toc40959160"/>
      <w:bookmarkStart w:id="705" w:name="_Toc40975994"/>
      <w:bookmarkStart w:id="706" w:name="_Toc40976063"/>
      <w:bookmarkStart w:id="707" w:name="_Toc40993318"/>
      <w:bookmarkStart w:id="708" w:name="_Toc40993700"/>
      <w:bookmarkStart w:id="709" w:name="_Toc41037576"/>
      <w:bookmarkStart w:id="710" w:name="_Toc41254136"/>
      <w:bookmarkStart w:id="711" w:name="_Toc41254168"/>
      <w:bookmarkStart w:id="712" w:name="_Toc41254188"/>
      <w:bookmarkStart w:id="713" w:name="_Toc42023964"/>
      <w:bookmarkStart w:id="714" w:name="_Toc42024015"/>
      <w:bookmarkStart w:id="715" w:name="_Toc42069112"/>
      <w:bookmarkStart w:id="716" w:name="_Toc49422058"/>
      <w:bookmarkStart w:id="717" w:name="_Toc49422084"/>
      <w:bookmarkStart w:id="718" w:name="_Toc49430663"/>
      <w:bookmarkStart w:id="719" w:name="_Toc49430689"/>
      <w:bookmarkStart w:id="720" w:name="_Toc49750466"/>
      <w:bookmarkStart w:id="721" w:name="_Toc49750716"/>
      <w:bookmarkStart w:id="722" w:name="_Toc49750744"/>
      <w:bookmarkStart w:id="723" w:name="_Toc55284830"/>
      <w:bookmarkStart w:id="724" w:name="_Toc55298848"/>
      <w:bookmarkStart w:id="725" w:name="_Toc55373829"/>
      <w:bookmarkStart w:id="726" w:name="_Toc55374002"/>
      <w:bookmarkStart w:id="727" w:name="_Toc55375139"/>
      <w:bookmarkStart w:id="728" w:name="_Toc55396547"/>
      <w:bookmarkStart w:id="729" w:name="_Toc65230544"/>
      <w:bookmarkStart w:id="730" w:name="_Toc65230782"/>
      <w:bookmarkStart w:id="731" w:name="_Toc65232066"/>
      <w:bookmarkStart w:id="732" w:name="_Toc65232311"/>
      <w:bookmarkStart w:id="733" w:name="_Toc66716170"/>
      <w:bookmarkStart w:id="734" w:name="_Toc71097214"/>
      <w:bookmarkStart w:id="735" w:name="_Toc71097245"/>
      <w:bookmarkStart w:id="736" w:name="_Toc71097320"/>
      <w:bookmarkStart w:id="737" w:name="_Toc71108060"/>
      <w:bookmarkStart w:id="738" w:name="_Toc79055254"/>
      <w:bookmarkStart w:id="739" w:name="_Toc79055285"/>
      <w:bookmarkStart w:id="740" w:name="_Toc79060176"/>
      <w:bookmarkStart w:id="741" w:name="_Toc79060463"/>
      <w:bookmarkStart w:id="742" w:name="_Toc81307820"/>
      <w:bookmarkStart w:id="743" w:name="_Toc83376481"/>
      <w:bookmarkStart w:id="744" w:name="_Toc86386720"/>
      <w:bookmarkStart w:id="745" w:name="_Toc86405406"/>
      <w:bookmarkStart w:id="746" w:name="_Toc98162436"/>
      <w:bookmarkStart w:id="747" w:name="_Toc98162468"/>
      <w:bookmarkStart w:id="748" w:name="_Toc98234994"/>
      <w:bookmarkStart w:id="749" w:name="_Toc98235189"/>
      <w:bookmarkStart w:id="750" w:name="_Toc98235274"/>
      <w:bookmarkStart w:id="751" w:name="_Toc98757144"/>
      <w:bookmarkStart w:id="752" w:name="_Toc101874699"/>
      <w:bookmarkStart w:id="753" w:name="_Toc101954155"/>
      <w:bookmarkStart w:id="754" w:name="_Toc101971972"/>
      <w:bookmarkStart w:id="755" w:name="_Toc101974064"/>
      <w:bookmarkStart w:id="756" w:name="_Toc102039749"/>
      <w:bookmarkStart w:id="757" w:name="_Toc102039787"/>
      <w:bookmarkStart w:id="758" w:name="_Toc102039827"/>
      <w:bookmarkStart w:id="759" w:name="_Toc102039858"/>
      <w:bookmarkStart w:id="760" w:name="_Toc102040916"/>
      <w:bookmarkStart w:id="761" w:name="_Toc102477764"/>
      <w:bookmarkStart w:id="762" w:name="_Toc102477795"/>
      <w:bookmarkStart w:id="763" w:name="_Toc109824825"/>
      <w:bookmarkStart w:id="764" w:name="_Toc109828781"/>
      <w:bookmarkStart w:id="765" w:name="_Toc109828844"/>
      <w:bookmarkStart w:id="766" w:name="_Toc109829020"/>
      <w:bookmarkStart w:id="767" w:name="_Toc109829051"/>
      <w:bookmarkStart w:id="768" w:name="_Toc109833895"/>
      <w:bookmarkStart w:id="769" w:name="_Toc110237438"/>
      <w:bookmarkStart w:id="770" w:name="_Toc117775315"/>
      <w:bookmarkStart w:id="771" w:name="_Toc117781284"/>
      <w:bookmarkStart w:id="772" w:name="_Toc125620813"/>
      <w:bookmarkStart w:id="773" w:name="_Toc125620844"/>
      <w:bookmarkStart w:id="774" w:name="_Toc125620875"/>
      <w:bookmarkStart w:id="775" w:name="_Toc125620911"/>
      <w:bookmarkStart w:id="776" w:name="_Toc125620942"/>
      <w:bookmarkStart w:id="777" w:name="_Toc125620975"/>
      <w:bookmarkStart w:id="778" w:name="_Toc125621028"/>
      <w:bookmarkStart w:id="779" w:name="_Toc125621082"/>
      <w:bookmarkStart w:id="780" w:name="_Toc125623560"/>
      <w:bookmarkStart w:id="781" w:name="_Toc125623592"/>
      <w:bookmarkStart w:id="782" w:name="_Toc125623624"/>
      <w:bookmarkStart w:id="783" w:name="_Toc125970370"/>
      <w:bookmarkStart w:id="784" w:name="_Toc125970402"/>
      <w:bookmarkStart w:id="785" w:name="_Toc127365853"/>
      <w:bookmarkStart w:id="786" w:name="_Toc127434604"/>
      <w:bookmarkStart w:id="787" w:name="_Toc127436972"/>
      <w:bookmarkStart w:id="788" w:name="_Toc127437333"/>
      <w:bookmarkStart w:id="789" w:name="_Toc127437688"/>
      <w:bookmarkStart w:id="790" w:name="_Toc133492782"/>
      <w:bookmarkStart w:id="791" w:name="_Toc133492979"/>
      <w:bookmarkStart w:id="792" w:name="_Toc133493201"/>
      <w:bookmarkStart w:id="793" w:name="_Toc133497835"/>
      <w:bookmarkStart w:id="794" w:name="_Toc133505555"/>
      <w:bookmarkStart w:id="795" w:name="_Toc133576133"/>
      <w:bookmarkStart w:id="796" w:name="_Toc133576205"/>
      <w:bookmarkStart w:id="797" w:name="_Toc133576238"/>
      <w:bookmarkStart w:id="798" w:name="_Toc133576270"/>
      <w:bookmarkStart w:id="799" w:name="_Toc133576302"/>
      <w:bookmarkStart w:id="800" w:name="_Toc133576334"/>
      <w:bookmarkStart w:id="801" w:name="_Toc133576387"/>
      <w:bookmarkStart w:id="802" w:name="_Toc133576421"/>
      <w:bookmarkStart w:id="803" w:name="_Toc133576454"/>
      <w:bookmarkStart w:id="804" w:name="_Toc133576487"/>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14:paraId="36A443F6" w14:textId="3243F44E" w:rsidR="000F462B" w:rsidRPr="00FC4688" w:rsidRDefault="000F462B" w:rsidP="000F462B">
      <w:pPr>
        <w:pStyle w:val="Ttulo2"/>
        <w:numPr>
          <w:ilvl w:val="1"/>
          <w:numId w:val="12"/>
        </w:numPr>
        <w:tabs>
          <w:tab w:val="left" w:pos="426"/>
        </w:tabs>
        <w:spacing w:before="0"/>
        <w:ind w:left="284" w:hanging="284"/>
        <w:rPr>
          <w:rFonts w:ascii="Times New Roman" w:hAnsi="Times New Roman" w:cs="Times New Roman"/>
          <w:color w:val="auto"/>
          <w:sz w:val="24"/>
        </w:rPr>
      </w:pPr>
      <w:bookmarkStart w:id="805" w:name="_Toc133576488"/>
      <w:r w:rsidRPr="00FC4688">
        <w:rPr>
          <w:rFonts w:ascii="Times New Roman" w:hAnsi="Times New Roman" w:cs="Times New Roman"/>
          <w:color w:val="auto"/>
          <w:sz w:val="24"/>
        </w:rPr>
        <w:t xml:space="preserve">La inversión </w:t>
      </w:r>
      <w:r w:rsidR="004C202D">
        <w:rPr>
          <w:rFonts w:ascii="Times New Roman" w:hAnsi="Times New Roman" w:cs="Times New Roman"/>
          <w:color w:val="auto"/>
          <w:sz w:val="24"/>
        </w:rPr>
        <w:t xml:space="preserve">sigue </w:t>
      </w:r>
      <w:r w:rsidR="001A6717">
        <w:rPr>
          <w:rFonts w:ascii="Times New Roman" w:hAnsi="Times New Roman" w:cs="Times New Roman"/>
          <w:color w:val="auto"/>
          <w:sz w:val="24"/>
        </w:rPr>
        <w:t>aument</w:t>
      </w:r>
      <w:r w:rsidR="004C202D">
        <w:rPr>
          <w:rFonts w:ascii="Times New Roman" w:hAnsi="Times New Roman" w:cs="Times New Roman"/>
          <w:color w:val="auto"/>
          <w:sz w:val="24"/>
        </w:rPr>
        <w:t>ando</w:t>
      </w:r>
      <w:bookmarkEnd w:id="805"/>
    </w:p>
    <w:p w14:paraId="6053CD67" w14:textId="60A9309A" w:rsidR="002B316B" w:rsidRPr="002B316B" w:rsidRDefault="002B316B" w:rsidP="002B316B">
      <w:pPr>
        <w:rPr>
          <w:rFonts w:cs="Times New Roman"/>
          <w:szCs w:val="22"/>
        </w:rPr>
      </w:pPr>
      <w:r w:rsidRPr="002B316B">
        <w:rPr>
          <w:rFonts w:cs="Times New Roman"/>
          <w:szCs w:val="22"/>
        </w:rPr>
        <w:t>La inversión bruta en activos no financieros durante el primer trimestre de 2023 registró el monto de Q1,222.8 millones, que representa</w:t>
      </w:r>
      <w:r w:rsidR="0042467B">
        <w:rPr>
          <w:rFonts w:cs="Times New Roman"/>
          <w:szCs w:val="22"/>
        </w:rPr>
        <w:t xml:space="preserve"> un</w:t>
      </w:r>
      <w:r w:rsidRPr="002B316B">
        <w:rPr>
          <w:rFonts w:cs="Times New Roman"/>
          <w:szCs w:val="22"/>
        </w:rPr>
        <w:t xml:space="preserve"> incremento interanual de</w:t>
      </w:r>
      <w:r w:rsidR="0042467B">
        <w:rPr>
          <w:rFonts w:cs="Times New Roman"/>
          <w:szCs w:val="22"/>
        </w:rPr>
        <w:t>l</w:t>
      </w:r>
      <w:r w:rsidRPr="002B316B">
        <w:rPr>
          <w:rFonts w:cs="Times New Roman"/>
          <w:szCs w:val="22"/>
        </w:rPr>
        <w:t xml:space="preserve"> 51.5% (Q415.9 millones) respecto de lo registrado en el mismo periodo del año anterior. La mayor parte de esta inversión realizada se registró en edificios y estructuras por </w:t>
      </w:r>
      <w:r w:rsidR="0042467B">
        <w:rPr>
          <w:rFonts w:cs="Times New Roman"/>
          <w:szCs w:val="22"/>
        </w:rPr>
        <w:t xml:space="preserve">un </w:t>
      </w:r>
      <w:r w:rsidRPr="002B316B">
        <w:rPr>
          <w:rFonts w:cs="Times New Roman"/>
          <w:szCs w:val="22"/>
        </w:rPr>
        <w:t>monto de Q1,128.5 millones, con un aumento del 45.9% (Q355.0 millones)</w:t>
      </w:r>
      <w:r w:rsidR="0042467B">
        <w:rPr>
          <w:rFonts w:cs="Times New Roman"/>
          <w:szCs w:val="22"/>
        </w:rPr>
        <w:t xml:space="preserve"> y</w:t>
      </w:r>
      <w:r w:rsidRPr="002B316B">
        <w:rPr>
          <w:rFonts w:cs="Times New Roman"/>
          <w:szCs w:val="22"/>
        </w:rPr>
        <w:t xml:space="preserve"> que se explica principalmente por </w:t>
      </w:r>
      <w:r w:rsidR="004C202D">
        <w:rPr>
          <w:rFonts w:cs="Times New Roman"/>
          <w:szCs w:val="22"/>
        </w:rPr>
        <w:t>las</w:t>
      </w:r>
      <w:r w:rsidRPr="002B316B">
        <w:rPr>
          <w:rFonts w:cs="Times New Roman"/>
          <w:szCs w:val="22"/>
        </w:rPr>
        <w:t xml:space="preserve"> </w:t>
      </w:r>
      <w:r w:rsidR="0042467B">
        <w:rPr>
          <w:rFonts w:cs="Times New Roman"/>
          <w:szCs w:val="22"/>
        </w:rPr>
        <w:t>c</w:t>
      </w:r>
      <w:r w:rsidR="0042467B" w:rsidRPr="002B316B">
        <w:rPr>
          <w:rFonts w:cs="Times New Roman"/>
          <w:szCs w:val="22"/>
        </w:rPr>
        <w:t xml:space="preserve">onstrucciones de </w:t>
      </w:r>
      <w:r w:rsidR="0042467B">
        <w:rPr>
          <w:rFonts w:cs="Times New Roman"/>
          <w:szCs w:val="22"/>
        </w:rPr>
        <w:t>b</w:t>
      </w:r>
      <w:r w:rsidR="0042467B" w:rsidRPr="002B316B">
        <w:rPr>
          <w:rFonts w:cs="Times New Roman"/>
          <w:szCs w:val="22"/>
        </w:rPr>
        <w:t xml:space="preserve">ienes </w:t>
      </w:r>
      <w:r w:rsidR="0042467B">
        <w:rPr>
          <w:rFonts w:cs="Times New Roman"/>
          <w:szCs w:val="22"/>
        </w:rPr>
        <w:t>n</w:t>
      </w:r>
      <w:r w:rsidR="0042467B" w:rsidRPr="002B316B">
        <w:rPr>
          <w:rFonts w:cs="Times New Roman"/>
          <w:szCs w:val="22"/>
        </w:rPr>
        <w:t xml:space="preserve">acionales de </w:t>
      </w:r>
      <w:r w:rsidR="0042467B">
        <w:rPr>
          <w:rFonts w:cs="Times New Roman"/>
          <w:szCs w:val="22"/>
        </w:rPr>
        <w:t>u</w:t>
      </w:r>
      <w:r w:rsidR="0042467B" w:rsidRPr="002B316B">
        <w:rPr>
          <w:rFonts w:cs="Times New Roman"/>
          <w:szCs w:val="22"/>
        </w:rPr>
        <w:t xml:space="preserve">so </w:t>
      </w:r>
      <w:r w:rsidR="0042467B">
        <w:rPr>
          <w:rFonts w:cs="Times New Roman"/>
          <w:szCs w:val="22"/>
        </w:rPr>
        <w:t>c</w:t>
      </w:r>
      <w:r w:rsidR="0042467B" w:rsidRPr="002B316B">
        <w:rPr>
          <w:rFonts w:cs="Times New Roman"/>
          <w:szCs w:val="22"/>
        </w:rPr>
        <w:t>omún</w:t>
      </w:r>
      <w:r w:rsidRPr="002B316B">
        <w:rPr>
          <w:rFonts w:cs="Times New Roman"/>
          <w:szCs w:val="22"/>
        </w:rPr>
        <w:t xml:space="preserve"> (que incluye las construcciones y ampliaciones de carreteras y puentes, entre otros) con una ejecución de Q868.2 millones, seguido por la inversión </w:t>
      </w:r>
      <w:r w:rsidR="004C202D">
        <w:rPr>
          <w:rFonts w:cs="Times New Roman"/>
          <w:szCs w:val="22"/>
        </w:rPr>
        <w:t>por las</w:t>
      </w:r>
      <w:r w:rsidRPr="002B316B">
        <w:rPr>
          <w:rFonts w:cs="Times New Roman"/>
          <w:szCs w:val="22"/>
        </w:rPr>
        <w:t xml:space="preserve"> </w:t>
      </w:r>
      <w:r w:rsidR="0042467B">
        <w:rPr>
          <w:rFonts w:cs="Times New Roman"/>
          <w:szCs w:val="22"/>
        </w:rPr>
        <w:t>c</w:t>
      </w:r>
      <w:r w:rsidR="0042467B" w:rsidRPr="002B316B">
        <w:rPr>
          <w:rFonts w:cs="Times New Roman"/>
          <w:szCs w:val="22"/>
        </w:rPr>
        <w:t xml:space="preserve">onstrucciones de </w:t>
      </w:r>
      <w:r w:rsidR="0042467B">
        <w:rPr>
          <w:rFonts w:cs="Times New Roman"/>
          <w:szCs w:val="22"/>
        </w:rPr>
        <w:t>b</w:t>
      </w:r>
      <w:r w:rsidR="0042467B" w:rsidRPr="002B316B">
        <w:rPr>
          <w:rFonts w:cs="Times New Roman"/>
          <w:szCs w:val="22"/>
        </w:rPr>
        <w:t xml:space="preserve">ienes </w:t>
      </w:r>
      <w:r w:rsidR="0042467B">
        <w:rPr>
          <w:rFonts w:cs="Times New Roman"/>
          <w:szCs w:val="22"/>
        </w:rPr>
        <w:t>n</w:t>
      </w:r>
      <w:r w:rsidR="0042467B" w:rsidRPr="002B316B">
        <w:rPr>
          <w:rFonts w:cs="Times New Roman"/>
          <w:szCs w:val="22"/>
        </w:rPr>
        <w:t xml:space="preserve">acionales de </w:t>
      </w:r>
      <w:r w:rsidR="0042467B">
        <w:rPr>
          <w:rFonts w:cs="Times New Roman"/>
          <w:szCs w:val="22"/>
        </w:rPr>
        <w:t>u</w:t>
      </w:r>
      <w:r w:rsidR="0042467B" w:rsidRPr="002B316B">
        <w:rPr>
          <w:rFonts w:cs="Times New Roman"/>
          <w:szCs w:val="22"/>
        </w:rPr>
        <w:t xml:space="preserve">so </w:t>
      </w:r>
      <w:r w:rsidR="0042467B">
        <w:rPr>
          <w:rFonts w:cs="Times New Roman"/>
          <w:szCs w:val="22"/>
        </w:rPr>
        <w:t>n</w:t>
      </w:r>
      <w:r w:rsidR="0042467B" w:rsidRPr="002B316B">
        <w:rPr>
          <w:rFonts w:cs="Times New Roman"/>
          <w:szCs w:val="22"/>
        </w:rPr>
        <w:t xml:space="preserve">o común </w:t>
      </w:r>
      <w:r w:rsidRPr="002B316B">
        <w:rPr>
          <w:rFonts w:cs="Times New Roman"/>
          <w:szCs w:val="22"/>
        </w:rPr>
        <w:t>(que considera la construcción de escuelas, hospitales y edificios, entre otros) al mostrar una ejecución de Q192.1 millones.</w:t>
      </w:r>
    </w:p>
    <w:p w14:paraId="09FBC4F5" w14:textId="77777777" w:rsidR="002B316B" w:rsidRPr="002B316B" w:rsidRDefault="002B316B" w:rsidP="002B316B">
      <w:pPr>
        <w:rPr>
          <w:rFonts w:cs="Times New Roman"/>
          <w:szCs w:val="22"/>
        </w:rPr>
      </w:pPr>
    </w:p>
    <w:p w14:paraId="3A279263" w14:textId="476E588B" w:rsidR="00EC6A25" w:rsidRPr="00FC4688" w:rsidRDefault="002B316B" w:rsidP="002B316B">
      <w:pPr>
        <w:rPr>
          <w:rFonts w:cs="Times New Roman"/>
          <w:szCs w:val="22"/>
        </w:rPr>
      </w:pPr>
      <w:r w:rsidRPr="002B316B">
        <w:rPr>
          <w:rFonts w:cs="Times New Roman"/>
          <w:szCs w:val="22"/>
        </w:rPr>
        <w:t>Por su parte, la inversión en maquinaria y equipo fue de Q92.1 millones</w:t>
      </w:r>
      <w:r w:rsidR="000F794A">
        <w:rPr>
          <w:rFonts w:cs="Times New Roman"/>
          <w:szCs w:val="22"/>
        </w:rPr>
        <w:t>,</w:t>
      </w:r>
      <w:r w:rsidRPr="002B316B">
        <w:rPr>
          <w:rFonts w:cs="Times New Roman"/>
          <w:szCs w:val="22"/>
        </w:rPr>
        <w:t xml:space="preserve"> con incremento del 183.2% (Q59.6 millones) respecto al año anterior</w:t>
      </w:r>
      <w:r w:rsidR="00486AC6">
        <w:rPr>
          <w:rFonts w:cs="Times New Roman"/>
          <w:szCs w:val="22"/>
        </w:rPr>
        <w:t xml:space="preserve">. En esta cuenta económica se destaca </w:t>
      </w:r>
      <w:r w:rsidRPr="002B316B">
        <w:rPr>
          <w:rFonts w:cs="Times New Roman"/>
          <w:szCs w:val="22"/>
        </w:rPr>
        <w:t xml:space="preserve">principalmente por la compra de </w:t>
      </w:r>
      <w:r w:rsidR="00486AC6">
        <w:rPr>
          <w:rFonts w:cs="Times New Roman"/>
          <w:szCs w:val="22"/>
        </w:rPr>
        <w:t>o</w:t>
      </w:r>
      <w:r w:rsidR="00486AC6" w:rsidRPr="002B316B">
        <w:rPr>
          <w:rFonts w:cs="Times New Roman"/>
          <w:szCs w:val="22"/>
        </w:rPr>
        <w:t xml:space="preserve">tras </w:t>
      </w:r>
      <w:r w:rsidR="00486AC6">
        <w:rPr>
          <w:rFonts w:cs="Times New Roman"/>
          <w:szCs w:val="22"/>
        </w:rPr>
        <w:t>m</w:t>
      </w:r>
      <w:r w:rsidR="00486AC6" w:rsidRPr="002B316B">
        <w:rPr>
          <w:rFonts w:cs="Times New Roman"/>
          <w:szCs w:val="22"/>
        </w:rPr>
        <w:t xml:space="preserve">aquinarias con </w:t>
      </w:r>
      <w:r w:rsidR="00486AC6">
        <w:rPr>
          <w:rFonts w:cs="Times New Roman"/>
          <w:szCs w:val="22"/>
        </w:rPr>
        <w:t xml:space="preserve">una </w:t>
      </w:r>
      <w:r w:rsidR="00486AC6" w:rsidRPr="002B316B">
        <w:rPr>
          <w:rFonts w:cs="Times New Roman"/>
          <w:szCs w:val="22"/>
        </w:rPr>
        <w:t xml:space="preserve">ejecución de </w:t>
      </w:r>
      <w:r w:rsidR="00486AC6">
        <w:rPr>
          <w:rFonts w:cs="Times New Roman"/>
          <w:szCs w:val="22"/>
        </w:rPr>
        <w:t>Q</w:t>
      </w:r>
      <w:r w:rsidR="00486AC6" w:rsidRPr="002B316B">
        <w:rPr>
          <w:rFonts w:cs="Times New Roman"/>
          <w:szCs w:val="22"/>
        </w:rPr>
        <w:t xml:space="preserve">33.6 millones; el </w:t>
      </w:r>
      <w:r w:rsidR="00486AC6">
        <w:rPr>
          <w:rFonts w:cs="Times New Roman"/>
          <w:szCs w:val="22"/>
        </w:rPr>
        <w:t>e</w:t>
      </w:r>
      <w:r w:rsidR="00486AC6" w:rsidRPr="002B316B">
        <w:rPr>
          <w:rFonts w:cs="Times New Roman"/>
          <w:szCs w:val="22"/>
        </w:rPr>
        <w:t xml:space="preserve">quipo de </w:t>
      </w:r>
      <w:r w:rsidR="00486AC6">
        <w:rPr>
          <w:rFonts w:cs="Times New Roman"/>
          <w:szCs w:val="22"/>
        </w:rPr>
        <w:t>c</w:t>
      </w:r>
      <w:r w:rsidR="00486AC6" w:rsidRPr="002B316B">
        <w:rPr>
          <w:rFonts w:cs="Times New Roman"/>
          <w:szCs w:val="22"/>
        </w:rPr>
        <w:t xml:space="preserve">ómputo </w:t>
      </w:r>
      <w:r w:rsidR="00486AC6">
        <w:rPr>
          <w:rFonts w:cs="Times New Roman"/>
          <w:szCs w:val="22"/>
        </w:rPr>
        <w:t>r</w:t>
      </w:r>
      <w:r w:rsidR="00486AC6" w:rsidRPr="002B316B">
        <w:rPr>
          <w:rFonts w:cs="Times New Roman"/>
          <w:szCs w:val="22"/>
        </w:rPr>
        <w:t xml:space="preserve">eportó </w:t>
      </w:r>
      <w:r w:rsidR="00486AC6">
        <w:rPr>
          <w:rFonts w:cs="Times New Roman"/>
          <w:szCs w:val="22"/>
        </w:rPr>
        <w:t xml:space="preserve">una </w:t>
      </w:r>
      <w:r w:rsidR="00486AC6" w:rsidRPr="002B316B">
        <w:rPr>
          <w:rFonts w:cs="Times New Roman"/>
          <w:szCs w:val="22"/>
        </w:rPr>
        <w:t xml:space="preserve">ejecución de </w:t>
      </w:r>
      <w:r w:rsidR="00486AC6">
        <w:rPr>
          <w:rFonts w:cs="Times New Roman"/>
          <w:szCs w:val="22"/>
        </w:rPr>
        <w:t>Q</w:t>
      </w:r>
      <w:r w:rsidR="00486AC6" w:rsidRPr="002B316B">
        <w:rPr>
          <w:rFonts w:cs="Times New Roman"/>
          <w:szCs w:val="22"/>
        </w:rPr>
        <w:t xml:space="preserve">25.2 millones y, el </w:t>
      </w:r>
      <w:r w:rsidR="00486AC6">
        <w:rPr>
          <w:rFonts w:cs="Times New Roman"/>
          <w:szCs w:val="22"/>
        </w:rPr>
        <w:t>m</w:t>
      </w:r>
      <w:r w:rsidR="00486AC6" w:rsidRPr="002B316B">
        <w:rPr>
          <w:rFonts w:cs="Times New Roman"/>
          <w:szCs w:val="22"/>
        </w:rPr>
        <w:t xml:space="preserve">obiliario y </w:t>
      </w:r>
      <w:r w:rsidR="00486AC6">
        <w:rPr>
          <w:rFonts w:cs="Times New Roman"/>
          <w:szCs w:val="22"/>
        </w:rPr>
        <w:t>e</w:t>
      </w:r>
      <w:r w:rsidR="00486AC6" w:rsidRPr="002B316B">
        <w:rPr>
          <w:rFonts w:cs="Times New Roman"/>
          <w:szCs w:val="22"/>
        </w:rPr>
        <w:t xml:space="preserve">quipo </w:t>
      </w:r>
      <w:r w:rsidR="00486AC6">
        <w:rPr>
          <w:rFonts w:cs="Times New Roman"/>
          <w:szCs w:val="22"/>
        </w:rPr>
        <w:t>m</w:t>
      </w:r>
      <w:r w:rsidR="00486AC6" w:rsidRPr="002B316B">
        <w:rPr>
          <w:rFonts w:cs="Times New Roman"/>
          <w:szCs w:val="22"/>
        </w:rPr>
        <w:t xml:space="preserve">édico-sanitario y de </w:t>
      </w:r>
      <w:r w:rsidR="00486AC6">
        <w:rPr>
          <w:rFonts w:cs="Times New Roman"/>
          <w:szCs w:val="22"/>
        </w:rPr>
        <w:t>l</w:t>
      </w:r>
      <w:r w:rsidR="00486AC6" w:rsidRPr="002B316B">
        <w:rPr>
          <w:rFonts w:cs="Times New Roman"/>
          <w:szCs w:val="22"/>
        </w:rPr>
        <w:t xml:space="preserve">aboratorio, que ascendió a </w:t>
      </w:r>
      <w:r w:rsidR="00486AC6">
        <w:rPr>
          <w:rFonts w:cs="Times New Roman"/>
          <w:szCs w:val="22"/>
        </w:rPr>
        <w:t>Q</w:t>
      </w:r>
      <w:r w:rsidR="00486AC6" w:rsidRPr="002B316B">
        <w:rPr>
          <w:rFonts w:cs="Times New Roman"/>
          <w:szCs w:val="22"/>
        </w:rPr>
        <w:t>12.5 millones en el periodo analizado.</w:t>
      </w:r>
    </w:p>
    <w:p w14:paraId="60675D19" w14:textId="16A352C7" w:rsidR="00A90ED3" w:rsidRDefault="00A90ED3" w:rsidP="00CD34D6">
      <w:pPr>
        <w:rPr>
          <w:rFonts w:cs="Times New Roman"/>
          <w:szCs w:val="22"/>
        </w:rPr>
      </w:pPr>
      <w:r w:rsidRPr="00FC4688">
        <w:rPr>
          <w:rFonts w:cs="Times New Roman"/>
          <w:noProof/>
          <w:szCs w:val="22"/>
          <w:lang w:eastAsia="es-GT"/>
        </w:rPr>
        <w:drawing>
          <wp:inline distT="0" distB="0" distL="0" distR="0" wp14:anchorId="12AB5EFB" wp14:editId="63024988">
            <wp:extent cx="6011545" cy="2245056"/>
            <wp:effectExtent l="0" t="0" r="8255" b="317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2ADD9C0" w14:textId="1A19FE99" w:rsidR="00B435E7" w:rsidRDefault="001D54E4" w:rsidP="007B2224">
      <w:pPr>
        <w:pStyle w:val="Prrafodelista"/>
        <w:numPr>
          <w:ilvl w:val="0"/>
          <w:numId w:val="1"/>
        </w:numPr>
        <w:ind w:left="426" w:hanging="426"/>
        <w:outlineLvl w:val="0"/>
        <w:rPr>
          <w:rFonts w:cs="Times New Roman"/>
          <w:b/>
          <w:sz w:val="24"/>
          <w:lang w:val="es-MX"/>
        </w:rPr>
      </w:pPr>
      <w:bookmarkStart w:id="806" w:name="_Toc42023966"/>
      <w:bookmarkStart w:id="807" w:name="_Toc42024017"/>
      <w:bookmarkStart w:id="808" w:name="_Toc42023967"/>
      <w:bookmarkStart w:id="809" w:name="_Toc42024018"/>
      <w:bookmarkStart w:id="810" w:name="_Toc133576489"/>
      <w:bookmarkEnd w:id="806"/>
      <w:bookmarkEnd w:id="807"/>
      <w:bookmarkEnd w:id="808"/>
      <w:bookmarkEnd w:id="809"/>
      <w:r w:rsidRPr="00FC4688">
        <w:rPr>
          <w:rFonts w:cs="Times New Roman"/>
          <w:b/>
          <w:sz w:val="24"/>
          <w:lang w:val="es-MX"/>
        </w:rPr>
        <w:lastRenderedPageBreak/>
        <w:t>Financiamiento</w:t>
      </w:r>
      <w:bookmarkEnd w:id="810"/>
    </w:p>
    <w:p w14:paraId="7248E987" w14:textId="77777777" w:rsidR="000F794A" w:rsidRPr="00FC4688" w:rsidRDefault="000F794A" w:rsidP="000F794A">
      <w:pPr>
        <w:pStyle w:val="Prrafodelista"/>
        <w:ind w:left="426"/>
        <w:outlineLvl w:val="0"/>
        <w:rPr>
          <w:rFonts w:cs="Times New Roman"/>
          <w:b/>
          <w:sz w:val="24"/>
          <w:lang w:val="es-MX"/>
        </w:rPr>
      </w:pPr>
    </w:p>
    <w:p w14:paraId="5287581E" w14:textId="77777777" w:rsidR="000F19C1" w:rsidRPr="00FC4688" w:rsidRDefault="000F19C1" w:rsidP="000F19C1">
      <w:pPr>
        <w:pStyle w:val="Prrafodelista"/>
        <w:keepNext/>
        <w:keepLines/>
        <w:numPr>
          <w:ilvl w:val="0"/>
          <w:numId w:val="12"/>
        </w:numPr>
        <w:tabs>
          <w:tab w:val="left" w:pos="426"/>
        </w:tabs>
        <w:spacing w:after="120"/>
        <w:contextualSpacing w:val="0"/>
        <w:outlineLvl w:val="1"/>
        <w:rPr>
          <w:rFonts w:eastAsiaTheme="majorEastAsia" w:cs="Times New Roman"/>
          <w:b/>
          <w:bCs/>
          <w:vanish/>
          <w:sz w:val="24"/>
          <w:szCs w:val="26"/>
          <w:lang w:eastAsia="es-ES"/>
        </w:rPr>
      </w:pPr>
      <w:bookmarkStart w:id="811" w:name="_Toc55374005"/>
      <w:bookmarkStart w:id="812" w:name="_Toc55375142"/>
      <w:bookmarkStart w:id="813" w:name="_Toc55396550"/>
      <w:bookmarkStart w:id="814" w:name="_Toc65230547"/>
      <w:bookmarkStart w:id="815" w:name="_Toc65230785"/>
      <w:bookmarkStart w:id="816" w:name="_Toc65232069"/>
      <w:bookmarkStart w:id="817" w:name="_Toc65232314"/>
      <w:bookmarkStart w:id="818" w:name="_Toc66716173"/>
      <w:bookmarkStart w:id="819" w:name="_Toc71097217"/>
      <w:bookmarkStart w:id="820" w:name="_Toc71097248"/>
      <w:bookmarkStart w:id="821" w:name="_Toc71097323"/>
      <w:bookmarkStart w:id="822" w:name="_Toc71108063"/>
      <w:bookmarkStart w:id="823" w:name="_Toc79055257"/>
      <w:bookmarkStart w:id="824" w:name="_Toc79055288"/>
      <w:bookmarkStart w:id="825" w:name="_Toc79060179"/>
      <w:bookmarkStart w:id="826" w:name="_Toc79060466"/>
      <w:bookmarkStart w:id="827" w:name="_Toc81307823"/>
      <w:bookmarkStart w:id="828" w:name="_Toc83376484"/>
      <w:bookmarkStart w:id="829" w:name="_Toc86386723"/>
      <w:bookmarkStart w:id="830" w:name="_Toc86405409"/>
      <w:bookmarkStart w:id="831" w:name="_Toc98162439"/>
      <w:bookmarkStart w:id="832" w:name="_Toc98162471"/>
      <w:bookmarkStart w:id="833" w:name="_Toc98234997"/>
      <w:bookmarkStart w:id="834" w:name="_Toc98235192"/>
      <w:bookmarkStart w:id="835" w:name="_Toc98235277"/>
      <w:bookmarkStart w:id="836" w:name="_Toc98757147"/>
      <w:bookmarkStart w:id="837" w:name="_Toc101874702"/>
      <w:bookmarkStart w:id="838" w:name="_Toc101954158"/>
      <w:bookmarkStart w:id="839" w:name="_Toc101971975"/>
      <w:bookmarkStart w:id="840" w:name="_Toc101974067"/>
      <w:bookmarkStart w:id="841" w:name="_Toc102039752"/>
      <w:bookmarkStart w:id="842" w:name="_Toc102039790"/>
      <w:bookmarkStart w:id="843" w:name="_Toc102039830"/>
      <w:bookmarkStart w:id="844" w:name="_Toc102039861"/>
      <w:bookmarkStart w:id="845" w:name="_Toc102040919"/>
      <w:bookmarkStart w:id="846" w:name="_Toc102477767"/>
      <w:bookmarkStart w:id="847" w:name="_Toc102477798"/>
      <w:bookmarkStart w:id="848" w:name="_Toc109824828"/>
      <w:bookmarkStart w:id="849" w:name="_Toc109828784"/>
      <w:bookmarkStart w:id="850" w:name="_Toc109828847"/>
      <w:bookmarkStart w:id="851" w:name="_Toc109829023"/>
      <w:bookmarkStart w:id="852" w:name="_Toc109829054"/>
      <w:bookmarkStart w:id="853" w:name="_Toc109833898"/>
      <w:bookmarkStart w:id="854" w:name="_Toc110237441"/>
      <w:bookmarkStart w:id="855" w:name="_Toc117775318"/>
      <w:bookmarkStart w:id="856" w:name="_Toc117781287"/>
      <w:bookmarkStart w:id="857" w:name="_Toc125620816"/>
      <w:bookmarkStart w:id="858" w:name="_Toc125620847"/>
      <w:bookmarkStart w:id="859" w:name="_Toc125620878"/>
      <w:bookmarkStart w:id="860" w:name="_Toc125620914"/>
      <w:bookmarkStart w:id="861" w:name="_Toc125620945"/>
      <w:bookmarkStart w:id="862" w:name="_Toc125620978"/>
      <w:bookmarkStart w:id="863" w:name="_Toc125621031"/>
      <w:bookmarkStart w:id="864" w:name="_Toc125621085"/>
      <w:bookmarkStart w:id="865" w:name="_Toc125623563"/>
      <w:bookmarkStart w:id="866" w:name="_Toc125623595"/>
      <w:bookmarkStart w:id="867" w:name="_Toc125623627"/>
      <w:bookmarkStart w:id="868" w:name="_Toc125970373"/>
      <w:bookmarkStart w:id="869" w:name="_Toc125970405"/>
      <w:bookmarkStart w:id="870" w:name="_Toc127365856"/>
      <w:bookmarkStart w:id="871" w:name="_Toc127434607"/>
      <w:bookmarkStart w:id="872" w:name="_Toc127436975"/>
      <w:bookmarkStart w:id="873" w:name="_Toc127437336"/>
      <w:bookmarkStart w:id="874" w:name="_Toc127437691"/>
      <w:bookmarkStart w:id="875" w:name="_Toc133492785"/>
      <w:bookmarkStart w:id="876" w:name="_Toc133492982"/>
      <w:bookmarkStart w:id="877" w:name="_Toc133493204"/>
      <w:bookmarkStart w:id="878" w:name="_Toc133497838"/>
      <w:bookmarkStart w:id="879" w:name="_Toc133505558"/>
      <w:bookmarkStart w:id="880" w:name="_Toc133576136"/>
      <w:bookmarkStart w:id="881" w:name="_Toc133576208"/>
      <w:bookmarkStart w:id="882" w:name="_Toc133576241"/>
      <w:bookmarkStart w:id="883" w:name="_Toc133576273"/>
      <w:bookmarkStart w:id="884" w:name="_Toc133576305"/>
      <w:bookmarkStart w:id="885" w:name="_Toc133576337"/>
      <w:bookmarkStart w:id="886" w:name="_Toc133576390"/>
      <w:bookmarkStart w:id="887" w:name="_Toc133576424"/>
      <w:bookmarkStart w:id="888" w:name="_Toc133576457"/>
      <w:bookmarkStart w:id="889" w:name="_Toc13357649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14:paraId="52D94915" w14:textId="790F9CF6" w:rsidR="00E44C78" w:rsidRPr="00FC4688" w:rsidRDefault="00833699" w:rsidP="00E44C78">
      <w:pPr>
        <w:pStyle w:val="Ttulo2"/>
        <w:numPr>
          <w:ilvl w:val="1"/>
          <w:numId w:val="12"/>
        </w:numPr>
        <w:tabs>
          <w:tab w:val="left" w:pos="426"/>
        </w:tabs>
        <w:spacing w:before="0"/>
        <w:rPr>
          <w:rFonts w:ascii="Times New Roman" w:hAnsi="Times New Roman" w:cs="Times New Roman"/>
          <w:color w:val="auto"/>
          <w:sz w:val="24"/>
        </w:rPr>
      </w:pPr>
      <w:bookmarkStart w:id="890" w:name="_Toc133576491"/>
      <w:r>
        <w:rPr>
          <w:rFonts w:ascii="Times New Roman" w:hAnsi="Times New Roman" w:cs="Times New Roman"/>
          <w:color w:val="auto"/>
          <w:sz w:val="24"/>
        </w:rPr>
        <w:t>Uso de</w:t>
      </w:r>
      <w:r w:rsidR="007B70FB">
        <w:rPr>
          <w:rFonts w:ascii="Times New Roman" w:hAnsi="Times New Roman" w:cs="Times New Roman"/>
          <w:color w:val="auto"/>
          <w:sz w:val="24"/>
        </w:rPr>
        <w:t xml:space="preserve"> </w:t>
      </w:r>
      <w:r w:rsidR="00A173A5">
        <w:rPr>
          <w:rFonts w:ascii="Times New Roman" w:hAnsi="Times New Roman" w:cs="Times New Roman"/>
          <w:color w:val="auto"/>
          <w:sz w:val="24"/>
        </w:rPr>
        <w:t>los</w:t>
      </w:r>
      <w:r w:rsidR="007B70FB" w:rsidRPr="00FC4688">
        <w:rPr>
          <w:rFonts w:ascii="Times New Roman" w:hAnsi="Times New Roman" w:cs="Times New Roman"/>
          <w:color w:val="auto"/>
          <w:sz w:val="24"/>
        </w:rPr>
        <w:t xml:space="preserve"> activos financieros</w:t>
      </w:r>
      <w:r>
        <w:rPr>
          <w:rFonts w:ascii="Times New Roman" w:hAnsi="Times New Roman" w:cs="Times New Roman"/>
          <w:color w:val="auto"/>
          <w:sz w:val="24"/>
        </w:rPr>
        <w:t xml:space="preserve"> como fuente de financiamiento</w:t>
      </w:r>
      <w:bookmarkEnd w:id="890"/>
    </w:p>
    <w:p w14:paraId="79FDDCFC" w14:textId="4E39D687" w:rsidR="00E44C78" w:rsidRDefault="00B11EB2" w:rsidP="00F46ECF">
      <w:r>
        <w:t>En el primer trimestre del 2023</w:t>
      </w:r>
      <w:r w:rsidR="009F6CEB" w:rsidRPr="009F6CEB">
        <w:t xml:space="preserve"> se observa que los activos financieros </w:t>
      </w:r>
      <w:r>
        <w:t>han disminu</w:t>
      </w:r>
      <w:r w:rsidR="00753466">
        <w:t>i</w:t>
      </w:r>
      <w:r>
        <w:t xml:space="preserve">do </w:t>
      </w:r>
      <w:r w:rsidR="00753466">
        <w:t xml:space="preserve">por </w:t>
      </w:r>
      <w:r w:rsidR="009F6CEB" w:rsidRPr="009F6CEB">
        <w:t>Q</w:t>
      </w:r>
      <w:r w:rsidR="00217C88" w:rsidRPr="00217C88">
        <w:t>3,460.</w:t>
      </w:r>
      <w:r w:rsidR="004E6D42">
        <w:t>8</w:t>
      </w:r>
      <w:r w:rsidR="00217C88" w:rsidRPr="00217C88">
        <w:t xml:space="preserve"> </w:t>
      </w:r>
      <w:r w:rsidR="009F6CEB" w:rsidRPr="009F6CEB">
        <w:t>millones, de los cuales</w:t>
      </w:r>
      <w:r w:rsidR="003635F0">
        <w:t>,</w:t>
      </w:r>
      <w:r w:rsidR="009F6CEB" w:rsidRPr="009F6CEB">
        <w:t xml:space="preserve"> la cuenta de billetes, monedas y depósitos (caja y bancos) </w:t>
      </w:r>
      <w:r w:rsidR="00064239">
        <w:t>ha sido la principal fuente de financiamiento, reduciéndose</w:t>
      </w:r>
      <w:r w:rsidR="00017FF6">
        <w:t xml:space="preserve"> en</w:t>
      </w:r>
      <w:r w:rsidR="009F6CEB" w:rsidRPr="009F6CEB">
        <w:t xml:space="preserve"> Q</w:t>
      </w:r>
      <w:r w:rsidR="00190C02">
        <w:t>3,449.</w:t>
      </w:r>
      <w:r w:rsidR="00472328">
        <w:t>9</w:t>
      </w:r>
      <w:r w:rsidR="00190C02">
        <w:t xml:space="preserve"> </w:t>
      </w:r>
      <w:r w:rsidR="009F6CEB" w:rsidRPr="009F6CEB">
        <w:t xml:space="preserve">millones, mientras </w:t>
      </w:r>
      <w:r w:rsidR="00064239">
        <w:t>la inversión en</w:t>
      </w:r>
      <w:r w:rsidR="009F6CEB" w:rsidRPr="009F6CEB">
        <w:t xml:space="preserve"> préstamos disminuyeron</w:t>
      </w:r>
      <w:r w:rsidR="00654789">
        <w:t xml:space="preserve"> por</w:t>
      </w:r>
      <w:r w:rsidR="009F6CEB" w:rsidRPr="009F6CEB">
        <w:t xml:space="preserve"> Q</w:t>
      </w:r>
      <w:r w:rsidR="00A36E47">
        <w:t>11</w:t>
      </w:r>
      <w:r w:rsidR="009F6CEB" w:rsidRPr="009F6CEB">
        <w:t>.</w:t>
      </w:r>
      <w:r w:rsidR="00A36E47">
        <w:t>0</w:t>
      </w:r>
      <w:r w:rsidR="009F6CEB" w:rsidRPr="009F6CEB">
        <w:t xml:space="preserve"> millones</w:t>
      </w:r>
      <w:r w:rsidR="00340785">
        <w:t xml:space="preserve"> </w:t>
      </w:r>
      <w:r w:rsidR="00340785" w:rsidRPr="000F794A">
        <w:t xml:space="preserve">derivado a la recuperación del capital </w:t>
      </w:r>
      <w:r w:rsidR="00167F96" w:rsidRPr="000F794A">
        <w:t xml:space="preserve">de los préstamos otorgados </w:t>
      </w:r>
      <w:r w:rsidR="00486AC6" w:rsidRPr="000F794A">
        <w:t>a</w:t>
      </w:r>
      <w:r w:rsidR="00186D74" w:rsidRPr="000F794A">
        <w:t xml:space="preserve"> </w:t>
      </w:r>
      <w:r w:rsidR="00486AC6" w:rsidRPr="00AA188A">
        <w:t>tr</w:t>
      </w:r>
      <w:r w:rsidR="00AA188A" w:rsidRPr="00AA188A">
        <w:t>a</w:t>
      </w:r>
      <w:r w:rsidR="00486AC6" w:rsidRPr="00AA188A">
        <w:t>v</w:t>
      </w:r>
      <w:r w:rsidR="00AA188A" w:rsidRPr="00AA188A">
        <w:t>é</w:t>
      </w:r>
      <w:r w:rsidR="00486AC6" w:rsidRPr="00AA188A">
        <w:t>s</w:t>
      </w:r>
      <w:r w:rsidR="00486AC6" w:rsidRPr="000F794A">
        <w:t xml:space="preserve"> </w:t>
      </w:r>
      <w:r w:rsidR="00340785" w:rsidRPr="000F794A">
        <w:t>del fideicomiso</w:t>
      </w:r>
      <w:r w:rsidR="00C064A4" w:rsidRPr="000F794A">
        <w:t xml:space="preserve"> del Fondo de Desarrollo de la Microempresa, Pequeña y Mediana Empresa</w:t>
      </w:r>
      <w:r w:rsidR="001B5DC7" w:rsidRPr="000F794A">
        <w:t xml:space="preserve"> y el traslado de ingresos por la cartera de </w:t>
      </w:r>
      <w:r w:rsidR="004B7261" w:rsidRPr="000F794A">
        <w:t>la Unidad para el Desarrollo de Vivienda Popular (</w:t>
      </w:r>
      <w:r w:rsidR="001B5DC7" w:rsidRPr="000F794A">
        <w:t>UDEVI</w:t>
      </w:r>
      <w:r w:rsidR="004B7261" w:rsidRPr="000F794A">
        <w:t>PO)</w:t>
      </w:r>
      <w:r w:rsidR="009F6CEB" w:rsidRPr="000F794A">
        <w:t>.</w:t>
      </w:r>
    </w:p>
    <w:p w14:paraId="2DEE9A2F" w14:textId="77777777" w:rsidR="009F6CEB" w:rsidRPr="00FC4688" w:rsidRDefault="009F6CEB" w:rsidP="00F46ECF"/>
    <w:p w14:paraId="0D166D80" w14:textId="3D74807E" w:rsidR="00470A42" w:rsidRPr="00FC4688" w:rsidRDefault="00470A42" w:rsidP="001A4D7B">
      <w:pPr>
        <w:jc w:val="center"/>
        <w:rPr>
          <w:b/>
          <w:bCs/>
        </w:rPr>
      </w:pPr>
      <w:r w:rsidRPr="00FC4688">
        <w:rPr>
          <w:b/>
          <w:bCs/>
        </w:rPr>
        <w:t xml:space="preserve">Incurrimiento neto de </w:t>
      </w:r>
      <w:r w:rsidR="00512290" w:rsidRPr="00FC4688">
        <w:rPr>
          <w:b/>
          <w:bCs/>
        </w:rPr>
        <w:t>activos financieros</w:t>
      </w:r>
      <w:r w:rsidRPr="00FC4688">
        <w:rPr>
          <w:b/>
          <w:bCs/>
        </w:rPr>
        <w:t xml:space="preserve"> </w:t>
      </w:r>
      <w:r w:rsidR="002623AC">
        <w:rPr>
          <w:b/>
          <w:bCs/>
        </w:rPr>
        <w:t xml:space="preserve">al </w:t>
      </w:r>
      <w:r w:rsidR="00EF1CD7">
        <w:rPr>
          <w:b/>
          <w:bCs/>
        </w:rPr>
        <w:t>31 de marzo</w:t>
      </w:r>
      <w:r w:rsidR="00FD7002" w:rsidRPr="00FC4688">
        <w:rPr>
          <w:b/>
          <w:bCs/>
        </w:rPr>
        <w:t xml:space="preserve"> de </w:t>
      </w:r>
      <w:r w:rsidR="00ED71F1" w:rsidRPr="00FC4688">
        <w:rPr>
          <w:b/>
          <w:bCs/>
        </w:rPr>
        <w:t>202</w:t>
      </w:r>
      <w:r w:rsidR="002623AC">
        <w:rPr>
          <w:b/>
          <w:bCs/>
        </w:rPr>
        <w:t>3</w:t>
      </w:r>
      <w:r w:rsidRPr="00FC4688">
        <w:rPr>
          <w:b/>
          <w:bCs/>
        </w:rPr>
        <w:t>*</w:t>
      </w:r>
    </w:p>
    <w:p w14:paraId="30738EC2" w14:textId="77777777" w:rsidR="00470A42" w:rsidRPr="00FC4688" w:rsidRDefault="00470A42" w:rsidP="006D1A13">
      <w:pPr>
        <w:jc w:val="center"/>
      </w:pPr>
      <w:r w:rsidRPr="00FC4688">
        <w:rPr>
          <w:sz w:val="20"/>
          <w:szCs w:val="22"/>
        </w:rPr>
        <w:t xml:space="preserve">En millones de </w:t>
      </w:r>
      <w:r w:rsidR="003D1F3C" w:rsidRPr="00FC4688">
        <w:rPr>
          <w:sz w:val="20"/>
          <w:szCs w:val="22"/>
        </w:rPr>
        <w:t>q</w:t>
      </w:r>
      <w:r w:rsidRPr="00FC4688">
        <w:rPr>
          <w:sz w:val="20"/>
          <w:szCs w:val="22"/>
        </w:rPr>
        <w:t>uetzales</w:t>
      </w:r>
      <w:r w:rsidR="003D1F3C" w:rsidRPr="00FC4688">
        <w:rPr>
          <w:sz w:val="20"/>
          <w:szCs w:val="22"/>
        </w:rPr>
        <w:t xml:space="preserve"> y porcentajes</w:t>
      </w:r>
    </w:p>
    <w:p w14:paraId="5C387859" w14:textId="3B3AC3DD" w:rsidR="00731535" w:rsidRPr="00FC4688" w:rsidRDefault="0069746E" w:rsidP="006D1A13">
      <w:pPr>
        <w:jc w:val="center"/>
      </w:pPr>
      <w:r w:rsidRPr="00FC4688">
        <w:rPr>
          <w:b/>
          <w:bCs/>
          <w:noProof/>
          <w:lang w:eastAsia="es-GT"/>
        </w:rPr>
        <w:drawing>
          <wp:inline distT="0" distB="0" distL="0" distR="0" wp14:anchorId="2AABB9F9" wp14:editId="7B64F4FE">
            <wp:extent cx="3303905" cy="2060812"/>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4E4DFA" w:rsidRPr="00FC4688">
        <w:rPr>
          <w:noProof/>
          <w:lang w:eastAsia="es-GT"/>
        </w:rPr>
        <w:drawing>
          <wp:inline distT="0" distB="0" distL="0" distR="0" wp14:anchorId="5878D245" wp14:editId="6A89A931">
            <wp:extent cx="2562225" cy="2033516"/>
            <wp:effectExtent l="0" t="0" r="0" b="508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D6DE04B" w14:textId="77777777" w:rsidR="001E71BF" w:rsidRPr="00FC4688" w:rsidRDefault="001E71BF" w:rsidP="001E71BF">
      <w:pPr>
        <w:rPr>
          <w:rFonts w:cs="Times New Roman"/>
          <w:sz w:val="16"/>
          <w:szCs w:val="22"/>
          <w:lang w:val="es-MX"/>
        </w:rPr>
      </w:pPr>
      <w:r w:rsidRPr="00FC4688">
        <w:rPr>
          <w:rFonts w:cs="Times New Roman"/>
          <w:sz w:val="16"/>
          <w:szCs w:val="22"/>
          <w:lang w:val="es-MX"/>
        </w:rPr>
        <w:t>*Cifras preliminares</w:t>
      </w:r>
    </w:p>
    <w:p w14:paraId="7B42A803" w14:textId="77777777" w:rsidR="001E71BF" w:rsidRPr="00FC4688" w:rsidRDefault="001E71BF" w:rsidP="001E71BF">
      <w:pPr>
        <w:rPr>
          <w:rFonts w:cs="Times New Roman"/>
          <w:sz w:val="16"/>
          <w:szCs w:val="22"/>
          <w:lang w:val="es-MX"/>
        </w:rPr>
      </w:pPr>
      <w:r w:rsidRPr="00FC4688">
        <w:rPr>
          <w:rFonts w:cs="Times New Roman"/>
          <w:sz w:val="16"/>
          <w:szCs w:val="22"/>
          <w:lang w:val="es-MX"/>
        </w:rPr>
        <w:t>Fuente: MINFIN</w:t>
      </w:r>
    </w:p>
    <w:p w14:paraId="37A69D73" w14:textId="77777777" w:rsidR="00D819A7" w:rsidRPr="0039579C" w:rsidRDefault="00D819A7" w:rsidP="001E71BF">
      <w:pPr>
        <w:rPr>
          <w:rFonts w:eastAsiaTheme="majorEastAsia" w:cs="Times New Roman"/>
          <w:b/>
          <w:bCs/>
          <w:sz w:val="24"/>
          <w:szCs w:val="26"/>
        </w:rPr>
      </w:pPr>
    </w:p>
    <w:p w14:paraId="19F7C5EB" w14:textId="6DEC5A50" w:rsidR="0079227F" w:rsidRPr="0039579C" w:rsidRDefault="00941A96" w:rsidP="0039579C">
      <w:pPr>
        <w:pStyle w:val="Ttulo2"/>
        <w:numPr>
          <w:ilvl w:val="1"/>
          <w:numId w:val="12"/>
        </w:numPr>
        <w:tabs>
          <w:tab w:val="left" w:pos="426"/>
        </w:tabs>
        <w:spacing w:before="0"/>
        <w:rPr>
          <w:rFonts w:ascii="Times New Roman" w:hAnsi="Times New Roman" w:cs="Times New Roman"/>
          <w:color w:val="auto"/>
          <w:sz w:val="24"/>
        </w:rPr>
      </w:pPr>
      <w:bookmarkStart w:id="891" w:name="_Toc133576492"/>
      <w:r>
        <w:rPr>
          <w:rFonts w:ascii="Times New Roman" w:hAnsi="Times New Roman" w:cs="Times New Roman"/>
          <w:color w:val="auto"/>
          <w:sz w:val="24"/>
        </w:rPr>
        <w:t>Se han amortizado</w:t>
      </w:r>
      <w:r w:rsidR="002A4680">
        <w:rPr>
          <w:rFonts w:ascii="Times New Roman" w:hAnsi="Times New Roman" w:cs="Times New Roman"/>
          <w:color w:val="auto"/>
          <w:sz w:val="24"/>
        </w:rPr>
        <w:t xml:space="preserve"> los pasivos</w:t>
      </w:r>
      <w:bookmarkEnd w:id="891"/>
    </w:p>
    <w:p w14:paraId="5457DA79" w14:textId="58B7D842" w:rsidR="00B30207" w:rsidRDefault="00941A96" w:rsidP="00122F2F">
      <w:r>
        <w:t>Al finalizar el primer trimestre del año, los pasivos financieros se redujeron (</w:t>
      </w:r>
      <w:r w:rsidR="00B210B8">
        <w:t xml:space="preserve">una </w:t>
      </w:r>
      <w:r>
        <w:t xml:space="preserve">amortización de </w:t>
      </w:r>
      <w:r w:rsidR="00167F96">
        <w:t>deuda) en</w:t>
      </w:r>
      <w:r w:rsidR="00E863A8">
        <w:t xml:space="preserve"> </w:t>
      </w:r>
      <w:r w:rsidR="003824AD" w:rsidRPr="003824AD">
        <w:t>Q</w:t>
      </w:r>
      <w:r w:rsidR="00E863A8">
        <w:t>2</w:t>
      </w:r>
      <w:r w:rsidR="003824AD" w:rsidRPr="003824AD">
        <w:t>,</w:t>
      </w:r>
      <w:r w:rsidR="00E863A8">
        <w:t>115</w:t>
      </w:r>
      <w:r w:rsidR="003824AD" w:rsidRPr="003824AD">
        <w:t>.</w:t>
      </w:r>
      <w:r w:rsidR="00E863A8">
        <w:t>9</w:t>
      </w:r>
      <w:r w:rsidR="003824AD" w:rsidRPr="003824AD">
        <w:t xml:space="preserve"> millones</w:t>
      </w:r>
      <w:r w:rsidR="00C61B4E">
        <w:t xml:space="preserve"> y siendo </w:t>
      </w:r>
      <w:r w:rsidR="00664755">
        <w:t xml:space="preserve">los títulos de deuda los </w:t>
      </w:r>
      <w:r w:rsidR="00DC3B96">
        <w:t>que han</w:t>
      </w:r>
      <w:r w:rsidR="00664755">
        <w:t xml:space="preserve"> </w:t>
      </w:r>
      <w:r w:rsidR="00486AC6">
        <w:t>tenido</w:t>
      </w:r>
      <w:r w:rsidR="00664755">
        <w:t xml:space="preserve"> una mayor amortización</w:t>
      </w:r>
      <w:r w:rsidR="00486AC6">
        <w:t>,</w:t>
      </w:r>
      <w:r w:rsidR="00664755">
        <w:t xml:space="preserve"> por un total de </w:t>
      </w:r>
      <w:r w:rsidR="003824AD" w:rsidRPr="003824AD">
        <w:t>Q</w:t>
      </w:r>
      <w:r w:rsidR="00664755">
        <w:t>1</w:t>
      </w:r>
      <w:r w:rsidR="003824AD" w:rsidRPr="003824AD">
        <w:t>,</w:t>
      </w:r>
      <w:r w:rsidR="00664755">
        <w:t>615</w:t>
      </w:r>
      <w:r w:rsidR="003824AD" w:rsidRPr="003824AD">
        <w:t>.</w:t>
      </w:r>
      <w:r w:rsidR="00664755">
        <w:t>3</w:t>
      </w:r>
      <w:r w:rsidR="003824AD" w:rsidRPr="003824AD">
        <w:t xml:space="preserve"> millones</w:t>
      </w:r>
      <w:r w:rsidR="006E2B36">
        <w:t xml:space="preserve"> seguido de </w:t>
      </w:r>
      <w:r w:rsidR="00391750">
        <w:t>la</w:t>
      </w:r>
      <w:r w:rsidR="006E2B36">
        <w:t xml:space="preserve"> reducción </w:t>
      </w:r>
      <w:r w:rsidR="00486AC6">
        <w:t>en</w:t>
      </w:r>
      <w:r w:rsidR="006E2B36">
        <w:t xml:space="preserve"> los préstamos</w:t>
      </w:r>
      <w:r w:rsidR="00486AC6">
        <w:t>,</w:t>
      </w:r>
      <w:r w:rsidR="006E2B36">
        <w:t xml:space="preserve"> por</w:t>
      </w:r>
      <w:r w:rsidR="00486AC6">
        <w:t xml:space="preserve"> un valor de</w:t>
      </w:r>
      <w:r w:rsidR="006E2B36">
        <w:t xml:space="preserve"> Q350.2 </w:t>
      </w:r>
      <w:r w:rsidR="00C20EC9">
        <w:t>millones y</w:t>
      </w:r>
      <w:r w:rsidR="006E2B36">
        <w:t xml:space="preserve"> </w:t>
      </w:r>
      <w:r w:rsidR="00AB5FF6">
        <w:t xml:space="preserve">las otras cuentas por pagar </w:t>
      </w:r>
      <w:r w:rsidR="00486AC6">
        <w:t xml:space="preserve">se redujeron </w:t>
      </w:r>
      <w:r w:rsidR="00AB5FF6">
        <w:t>por Q150.4 millones</w:t>
      </w:r>
      <w:r w:rsidR="003824AD" w:rsidRPr="003824AD">
        <w:t>.</w:t>
      </w:r>
    </w:p>
    <w:p w14:paraId="36080309" w14:textId="77777777" w:rsidR="003824AD" w:rsidRPr="00FC4688" w:rsidRDefault="003824AD" w:rsidP="00122F2F"/>
    <w:tbl>
      <w:tblPr>
        <w:tblStyle w:val="Tablaconcuadrcula"/>
        <w:tblW w:w="93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0"/>
        <w:gridCol w:w="3746"/>
      </w:tblGrid>
      <w:tr w:rsidR="0061446B" w:rsidRPr="00FC4688" w14:paraId="170F85A0" w14:textId="77777777" w:rsidTr="00B30207">
        <w:trPr>
          <w:trHeight w:val="11"/>
          <w:jc w:val="center"/>
        </w:trPr>
        <w:tc>
          <w:tcPr>
            <w:tcW w:w="9396" w:type="dxa"/>
            <w:gridSpan w:val="2"/>
          </w:tcPr>
          <w:p w14:paraId="53CD2781" w14:textId="3B19150D" w:rsidR="0061446B" w:rsidRPr="00FC4688" w:rsidRDefault="0061446B" w:rsidP="00E34A48">
            <w:pPr>
              <w:jc w:val="center"/>
              <w:rPr>
                <w:b/>
                <w:bCs/>
              </w:rPr>
            </w:pPr>
            <w:r w:rsidRPr="00FC4688">
              <w:rPr>
                <w:b/>
                <w:bCs/>
              </w:rPr>
              <w:t>Incurrimiento neto de pasivos</w:t>
            </w:r>
            <w:r w:rsidR="009D176B" w:rsidRPr="00FC4688">
              <w:rPr>
                <w:b/>
                <w:bCs/>
              </w:rPr>
              <w:t xml:space="preserve"> </w:t>
            </w:r>
            <w:r w:rsidR="00B435E7" w:rsidRPr="00FC4688">
              <w:rPr>
                <w:b/>
                <w:bCs/>
              </w:rPr>
              <w:t>a</w:t>
            </w:r>
            <w:r w:rsidR="00AF4004">
              <w:rPr>
                <w:b/>
                <w:bCs/>
              </w:rPr>
              <w:t>l 31 de marzo</w:t>
            </w:r>
            <w:r w:rsidR="00B435E7" w:rsidRPr="00FC4688">
              <w:rPr>
                <w:b/>
                <w:bCs/>
              </w:rPr>
              <w:t xml:space="preserve"> de </w:t>
            </w:r>
            <w:r w:rsidR="009D176B" w:rsidRPr="00FC4688">
              <w:rPr>
                <w:b/>
                <w:bCs/>
              </w:rPr>
              <w:t>202</w:t>
            </w:r>
            <w:r w:rsidR="00AF4004">
              <w:rPr>
                <w:b/>
                <w:bCs/>
              </w:rPr>
              <w:t>3</w:t>
            </w:r>
            <w:r w:rsidR="009D176B" w:rsidRPr="00FC4688">
              <w:rPr>
                <w:b/>
                <w:bCs/>
              </w:rPr>
              <w:t>*</w:t>
            </w:r>
          </w:p>
          <w:p w14:paraId="0071567C" w14:textId="028E652F" w:rsidR="0061446B" w:rsidRPr="00FC4688" w:rsidRDefault="0061446B" w:rsidP="00E34A48">
            <w:pPr>
              <w:jc w:val="center"/>
            </w:pPr>
            <w:r w:rsidRPr="00FC4688">
              <w:rPr>
                <w:sz w:val="20"/>
                <w:szCs w:val="22"/>
              </w:rPr>
              <w:t xml:space="preserve">En </w:t>
            </w:r>
            <w:r w:rsidR="006535F3" w:rsidRPr="00FC4688">
              <w:rPr>
                <w:sz w:val="20"/>
                <w:szCs w:val="22"/>
              </w:rPr>
              <w:t>millones</w:t>
            </w:r>
            <w:r w:rsidRPr="00FC4688">
              <w:rPr>
                <w:sz w:val="20"/>
                <w:szCs w:val="22"/>
              </w:rPr>
              <w:t xml:space="preserve"> de Quetzales</w:t>
            </w:r>
          </w:p>
        </w:tc>
      </w:tr>
      <w:tr w:rsidR="00D36792" w:rsidRPr="00FC4688" w14:paraId="2690E1D3" w14:textId="77777777" w:rsidTr="007E67D0">
        <w:trPr>
          <w:trHeight w:val="157"/>
          <w:jc w:val="center"/>
        </w:trPr>
        <w:tc>
          <w:tcPr>
            <w:tcW w:w="5650" w:type="dxa"/>
            <w:shd w:val="clear" w:color="auto" w:fill="auto"/>
          </w:tcPr>
          <w:p w14:paraId="38032EE6" w14:textId="4F7857D1" w:rsidR="00F674B9" w:rsidRPr="00FC4688" w:rsidRDefault="007953AD" w:rsidP="00E34A48">
            <w:r w:rsidRPr="00AC1506">
              <w:rPr>
                <w:noProof/>
                <w:lang w:eastAsia="es-GT"/>
              </w:rPr>
              <w:drawing>
                <wp:anchor distT="0" distB="0" distL="114300" distR="114300" simplePos="0" relativeHeight="251673604" behindDoc="0" locked="0" layoutInCell="1" allowOverlap="1" wp14:anchorId="56CDCC02" wp14:editId="5EF8AF83">
                  <wp:simplePos x="0" y="0"/>
                  <wp:positionH relativeFrom="column">
                    <wp:posOffset>-68580</wp:posOffset>
                  </wp:positionH>
                  <wp:positionV relativeFrom="paragraph">
                    <wp:posOffset>166370</wp:posOffset>
                  </wp:positionV>
                  <wp:extent cx="3600450" cy="2128520"/>
                  <wp:effectExtent l="0" t="0" r="0" b="5080"/>
                  <wp:wrapSquare wrapText="bothSides"/>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V relativeFrom="margin">
                    <wp14:pctHeight>0</wp14:pctHeight>
                  </wp14:sizeRelV>
                </wp:anchor>
              </w:drawing>
            </w:r>
          </w:p>
        </w:tc>
        <w:tc>
          <w:tcPr>
            <w:tcW w:w="3746" w:type="dxa"/>
          </w:tcPr>
          <w:p w14:paraId="6D2B05F8" w14:textId="3F5AD2E5" w:rsidR="00F674B9" w:rsidRPr="00FC4688" w:rsidRDefault="00A8309B" w:rsidP="00814951">
            <w:pPr>
              <w:ind w:right="-183"/>
            </w:pPr>
            <w:r w:rsidRPr="00FC4688">
              <w:rPr>
                <w:noProof/>
                <w:lang w:eastAsia="es-GT"/>
              </w:rPr>
              <w:drawing>
                <wp:inline distT="0" distB="0" distL="0" distR="0" wp14:anchorId="1A595F87" wp14:editId="6472A8BF">
                  <wp:extent cx="2279015" cy="2333768"/>
                  <wp:effectExtent l="0" t="0" r="6985"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1F341054" w14:textId="2EA0C79E" w:rsidR="00F4077C" w:rsidRPr="00FC4688" w:rsidRDefault="00F4077C" w:rsidP="00C34A03">
      <w:pPr>
        <w:pStyle w:val="Prrafodelista"/>
        <w:numPr>
          <w:ilvl w:val="0"/>
          <w:numId w:val="1"/>
        </w:numPr>
        <w:ind w:left="426" w:hanging="426"/>
        <w:outlineLvl w:val="0"/>
        <w:rPr>
          <w:rFonts w:eastAsiaTheme="majorEastAsia" w:cs="Times New Roman"/>
          <w:b/>
          <w:bCs/>
          <w:sz w:val="24"/>
          <w:szCs w:val="26"/>
          <w:lang w:val="es-ES_tradnl" w:eastAsia="es-ES"/>
        </w:rPr>
      </w:pPr>
      <w:bookmarkStart w:id="892" w:name="_Toc42023970"/>
      <w:bookmarkStart w:id="893" w:name="_Toc42024021"/>
      <w:bookmarkStart w:id="894" w:name="_Toc42023971"/>
      <w:bookmarkStart w:id="895" w:name="_Toc42024022"/>
      <w:bookmarkStart w:id="896" w:name="_Toc42023972"/>
      <w:bookmarkStart w:id="897" w:name="_Toc42024023"/>
      <w:bookmarkStart w:id="898" w:name="_Toc42023973"/>
      <w:bookmarkStart w:id="899" w:name="_Toc42024024"/>
      <w:bookmarkStart w:id="900" w:name="_Toc133576493"/>
      <w:bookmarkEnd w:id="892"/>
      <w:bookmarkEnd w:id="893"/>
      <w:bookmarkEnd w:id="894"/>
      <w:bookmarkEnd w:id="895"/>
      <w:bookmarkEnd w:id="896"/>
      <w:bookmarkEnd w:id="897"/>
      <w:bookmarkEnd w:id="898"/>
      <w:bookmarkEnd w:id="899"/>
      <w:r w:rsidRPr="00FC4688">
        <w:rPr>
          <w:rFonts w:eastAsiaTheme="majorEastAsia" w:cs="Times New Roman"/>
          <w:b/>
          <w:bCs/>
          <w:sz w:val="24"/>
          <w:szCs w:val="26"/>
          <w:lang w:val="es-ES_tradnl" w:eastAsia="es-ES"/>
        </w:rPr>
        <w:lastRenderedPageBreak/>
        <w:t>Erogaciones</w:t>
      </w:r>
      <w:r w:rsidR="00B50E45" w:rsidRPr="00FC4688">
        <w:rPr>
          <w:rFonts w:eastAsiaTheme="majorEastAsia" w:cs="Times New Roman"/>
          <w:b/>
          <w:bCs/>
          <w:sz w:val="24"/>
          <w:szCs w:val="26"/>
          <w:lang w:val="es-ES_tradnl" w:eastAsia="es-ES"/>
        </w:rPr>
        <w:t xml:space="preserve"> del Gobierno Central Presupuestario</w:t>
      </w:r>
      <w:bookmarkEnd w:id="900"/>
    </w:p>
    <w:p w14:paraId="2B633498" w14:textId="77777777" w:rsidR="007A76CD" w:rsidRPr="00FC4688" w:rsidRDefault="007A76CD" w:rsidP="00594050">
      <w:pPr>
        <w:rPr>
          <w:rFonts w:cs="Times New Roman"/>
        </w:rPr>
      </w:pPr>
      <w:r w:rsidRPr="00FC4688">
        <w:rPr>
          <w:rFonts w:eastAsiaTheme="majorEastAsia"/>
          <w:noProof/>
          <w:lang w:eastAsia="es-GT"/>
        </w:rPr>
        <w:drawing>
          <wp:inline distT="0" distB="0" distL="0" distR="0" wp14:anchorId="77325B34" wp14:editId="59961A01">
            <wp:extent cx="5836920" cy="876300"/>
            <wp:effectExtent l="76200" t="38100" r="87630" b="114300"/>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17E5690A" w14:textId="77777777" w:rsidR="000F19C1" w:rsidRPr="00FC4688" w:rsidRDefault="000F19C1" w:rsidP="000F19C1">
      <w:pPr>
        <w:pStyle w:val="Prrafodelista"/>
        <w:keepNext/>
        <w:keepLines/>
        <w:numPr>
          <w:ilvl w:val="0"/>
          <w:numId w:val="43"/>
        </w:numPr>
        <w:tabs>
          <w:tab w:val="left" w:pos="426"/>
        </w:tabs>
        <w:spacing w:after="120"/>
        <w:contextualSpacing w:val="0"/>
        <w:outlineLvl w:val="1"/>
        <w:rPr>
          <w:rFonts w:eastAsiaTheme="majorEastAsia" w:cs="Times New Roman"/>
          <w:b/>
          <w:bCs/>
          <w:vanish/>
          <w:sz w:val="24"/>
          <w:szCs w:val="26"/>
          <w:lang w:eastAsia="es-ES"/>
        </w:rPr>
      </w:pPr>
      <w:bookmarkStart w:id="901" w:name="_Toc42023975"/>
      <w:bookmarkStart w:id="902" w:name="_Toc42024026"/>
      <w:bookmarkStart w:id="903" w:name="_Toc42069116"/>
      <w:bookmarkStart w:id="904" w:name="_Toc49422062"/>
      <w:bookmarkStart w:id="905" w:name="_Toc49422088"/>
      <w:bookmarkStart w:id="906" w:name="_Toc49430667"/>
      <w:bookmarkStart w:id="907" w:name="_Toc49430693"/>
      <w:bookmarkStart w:id="908" w:name="_Toc49750470"/>
      <w:bookmarkStart w:id="909" w:name="_Toc49750720"/>
      <w:bookmarkStart w:id="910" w:name="_Toc49750748"/>
      <w:bookmarkStart w:id="911" w:name="_Toc55284834"/>
      <w:bookmarkStart w:id="912" w:name="_Toc55298852"/>
      <w:bookmarkStart w:id="913" w:name="_Toc55373835"/>
      <w:bookmarkStart w:id="914" w:name="_Toc55374009"/>
      <w:bookmarkStart w:id="915" w:name="_Toc55375146"/>
      <w:bookmarkStart w:id="916" w:name="_Toc55396554"/>
      <w:bookmarkStart w:id="917" w:name="_Toc65230551"/>
      <w:bookmarkStart w:id="918" w:name="_Toc65230789"/>
      <w:bookmarkStart w:id="919" w:name="_Toc65232073"/>
      <w:bookmarkStart w:id="920" w:name="_Toc65232318"/>
      <w:bookmarkStart w:id="921" w:name="_Toc66716177"/>
      <w:bookmarkStart w:id="922" w:name="_Toc71097221"/>
      <w:bookmarkStart w:id="923" w:name="_Toc71097252"/>
      <w:bookmarkStart w:id="924" w:name="_Toc71097327"/>
      <w:bookmarkStart w:id="925" w:name="_Toc71108067"/>
      <w:bookmarkStart w:id="926" w:name="_Toc79055261"/>
      <w:bookmarkStart w:id="927" w:name="_Toc79055292"/>
      <w:bookmarkStart w:id="928" w:name="_Toc79060183"/>
      <w:bookmarkStart w:id="929" w:name="_Toc79060470"/>
      <w:bookmarkStart w:id="930" w:name="_Toc81307827"/>
      <w:bookmarkStart w:id="931" w:name="_Toc83376488"/>
      <w:bookmarkStart w:id="932" w:name="_Toc86386727"/>
      <w:bookmarkStart w:id="933" w:name="_Toc86405413"/>
      <w:bookmarkStart w:id="934" w:name="_Toc98162443"/>
      <w:bookmarkStart w:id="935" w:name="_Toc98162475"/>
      <w:bookmarkStart w:id="936" w:name="_Toc98235001"/>
      <w:bookmarkStart w:id="937" w:name="_Toc98235196"/>
      <w:bookmarkStart w:id="938" w:name="_Toc98235281"/>
      <w:bookmarkStart w:id="939" w:name="_Toc98757151"/>
      <w:bookmarkStart w:id="940" w:name="_Toc101874706"/>
      <w:bookmarkStart w:id="941" w:name="_Toc101954162"/>
      <w:bookmarkStart w:id="942" w:name="_Toc101971979"/>
      <w:bookmarkStart w:id="943" w:name="_Toc101974071"/>
      <w:bookmarkStart w:id="944" w:name="_Toc102039756"/>
      <w:bookmarkStart w:id="945" w:name="_Toc102039794"/>
      <w:bookmarkStart w:id="946" w:name="_Toc102039834"/>
      <w:bookmarkStart w:id="947" w:name="_Toc102039865"/>
      <w:bookmarkStart w:id="948" w:name="_Toc102040923"/>
      <w:bookmarkStart w:id="949" w:name="_Toc102477771"/>
      <w:bookmarkStart w:id="950" w:name="_Toc102477802"/>
      <w:bookmarkStart w:id="951" w:name="_Toc109824832"/>
      <w:bookmarkStart w:id="952" w:name="_Toc109828788"/>
      <w:bookmarkStart w:id="953" w:name="_Toc109828851"/>
      <w:bookmarkStart w:id="954" w:name="_Toc109829027"/>
      <w:bookmarkStart w:id="955" w:name="_Toc109829058"/>
      <w:bookmarkStart w:id="956" w:name="_Toc109833902"/>
      <w:bookmarkStart w:id="957" w:name="_Toc110237445"/>
      <w:bookmarkStart w:id="958" w:name="_Toc117775322"/>
      <w:bookmarkStart w:id="959" w:name="_Toc117781291"/>
      <w:bookmarkStart w:id="960" w:name="_Toc125620819"/>
      <w:bookmarkStart w:id="961" w:name="_Toc125620850"/>
      <w:bookmarkStart w:id="962" w:name="_Toc125620881"/>
      <w:bookmarkStart w:id="963" w:name="_Toc125620917"/>
      <w:bookmarkStart w:id="964" w:name="_Toc125620948"/>
      <w:bookmarkStart w:id="965" w:name="_Toc125620982"/>
      <w:bookmarkStart w:id="966" w:name="_Toc125621035"/>
      <w:bookmarkStart w:id="967" w:name="_Toc125621089"/>
      <w:bookmarkStart w:id="968" w:name="_Toc125623567"/>
      <w:bookmarkStart w:id="969" w:name="_Toc125623599"/>
      <w:bookmarkStart w:id="970" w:name="_Toc125623631"/>
      <w:bookmarkStart w:id="971" w:name="_Toc125970377"/>
      <w:bookmarkStart w:id="972" w:name="_Toc125970409"/>
      <w:bookmarkStart w:id="973" w:name="_Toc127365860"/>
      <w:bookmarkStart w:id="974" w:name="_Toc127434611"/>
      <w:bookmarkStart w:id="975" w:name="_Toc127436979"/>
      <w:bookmarkStart w:id="976" w:name="_Toc127437340"/>
      <w:bookmarkStart w:id="977" w:name="_Toc127437695"/>
      <w:bookmarkStart w:id="978" w:name="_Toc133492789"/>
      <w:bookmarkStart w:id="979" w:name="_Toc133492986"/>
      <w:bookmarkStart w:id="980" w:name="_Toc133493208"/>
      <w:bookmarkStart w:id="981" w:name="_Toc133497842"/>
      <w:bookmarkStart w:id="982" w:name="_Toc133505562"/>
      <w:bookmarkStart w:id="983" w:name="_Toc133576140"/>
      <w:bookmarkStart w:id="984" w:name="_Toc133576212"/>
      <w:bookmarkStart w:id="985" w:name="_Toc133576245"/>
      <w:bookmarkStart w:id="986" w:name="_Toc133576277"/>
      <w:bookmarkStart w:id="987" w:name="_Toc133576309"/>
      <w:bookmarkStart w:id="988" w:name="_Toc133576341"/>
      <w:bookmarkStart w:id="989" w:name="_Toc133576394"/>
      <w:bookmarkStart w:id="990" w:name="_Toc133576428"/>
      <w:bookmarkStart w:id="991" w:name="_Toc133576461"/>
      <w:bookmarkStart w:id="992" w:name="_Toc133576494"/>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14:paraId="56FB527D" w14:textId="77777777" w:rsidR="000F19C1" w:rsidRPr="00FC4688" w:rsidRDefault="000F19C1" w:rsidP="000F19C1">
      <w:pPr>
        <w:pStyle w:val="Prrafodelista"/>
        <w:keepNext/>
        <w:keepLines/>
        <w:numPr>
          <w:ilvl w:val="0"/>
          <w:numId w:val="43"/>
        </w:numPr>
        <w:tabs>
          <w:tab w:val="left" w:pos="426"/>
        </w:tabs>
        <w:spacing w:after="120"/>
        <w:contextualSpacing w:val="0"/>
        <w:outlineLvl w:val="1"/>
        <w:rPr>
          <w:rFonts w:eastAsiaTheme="majorEastAsia" w:cs="Times New Roman"/>
          <w:b/>
          <w:bCs/>
          <w:vanish/>
          <w:sz w:val="24"/>
          <w:szCs w:val="26"/>
          <w:lang w:eastAsia="es-ES"/>
        </w:rPr>
      </w:pPr>
      <w:bookmarkStart w:id="993" w:name="_Toc55374010"/>
      <w:bookmarkStart w:id="994" w:name="_Toc55375147"/>
      <w:bookmarkStart w:id="995" w:name="_Toc55396555"/>
      <w:bookmarkStart w:id="996" w:name="_Toc65230552"/>
      <w:bookmarkStart w:id="997" w:name="_Toc65230790"/>
      <w:bookmarkStart w:id="998" w:name="_Toc65232074"/>
      <w:bookmarkStart w:id="999" w:name="_Toc65232319"/>
      <w:bookmarkStart w:id="1000" w:name="_Toc66716178"/>
      <w:bookmarkStart w:id="1001" w:name="_Toc71097222"/>
      <w:bookmarkStart w:id="1002" w:name="_Toc71097253"/>
      <w:bookmarkStart w:id="1003" w:name="_Toc71097328"/>
      <w:bookmarkStart w:id="1004" w:name="_Toc71108068"/>
      <w:bookmarkStart w:id="1005" w:name="_Toc79055262"/>
      <w:bookmarkStart w:id="1006" w:name="_Toc79055293"/>
      <w:bookmarkStart w:id="1007" w:name="_Toc79060184"/>
      <w:bookmarkStart w:id="1008" w:name="_Toc79060471"/>
      <w:bookmarkStart w:id="1009" w:name="_Toc81307828"/>
      <w:bookmarkStart w:id="1010" w:name="_Toc83376489"/>
      <w:bookmarkStart w:id="1011" w:name="_Toc86386728"/>
      <w:bookmarkStart w:id="1012" w:name="_Toc86405414"/>
      <w:bookmarkStart w:id="1013" w:name="_Toc98162444"/>
      <w:bookmarkStart w:id="1014" w:name="_Toc98162476"/>
      <w:bookmarkStart w:id="1015" w:name="_Toc98235002"/>
      <w:bookmarkStart w:id="1016" w:name="_Toc98235197"/>
      <w:bookmarkStart w:id="1017" w:name="_Toc98235282"/>
      <w:bookmarkStart w:id="1018" w:name="_Toc98757152"/>
      <w:bookmarkStart w:id="1019" w:name="_Toc101874707"/>
      <w:bookmarkStart w:id="1020" w:name="_Toc101954163"/>
      <w:bookmarkStart w:id="1021" w:name="_Toc101971980"/>
      <w:bookmarkStart w:id="1022" w:name="_Toc101974072"/>
      <w:bookmarkStart w:id="1023" w:name="_Toc102039757"/>
      <w:bookmarkStart w:id="1024" w:name="_Toc102039795"/>
      <w:bookmarkStart w:id="1025" w:name="_Toc102039835"/>
      <w:bookmarkStart w:id="1026" w:name="_Toc102039866"/>
      <w:bookmarkStart w:id="1027" w:name="_Toc102040924"/>
      <w:bookmarkStart w:id="1028" w:name="_Toc102477772"/>
      <w:bookmarkStart w:id="1029" w:name="_Toc102477803"/>
      <w:bookmarkStart w:id="1030" w:name="_Toc109824833"/>
      <w:bookmarkStart w:id="1031" w:name="_Toc109828789"/>
      <w:bookmarkStart w:id="1032" w:name="_Toc109828852"/>
      <w:bookmarkStart w:id="1033" w:name="_Toc109829028"/>
      <w:bookmarkStart w:id="1034" w:name="_Toc109829059"/>
      <w:bookmarkStart w:id="1035" w:name="_Toc109833903"/>
      <w:bookmarkStart w:id="1036" w:name="_Toc110237446"/>
      <w:bookmarkStart w:id="1037" w:name="_Toc117775323"/>
      <w:bookmarkStart w:id="1038" w:name="_Toc117781292"/>
      <w:bookmarkStart w:id="1039" w:name="_Toc125620820"/>
      <w:bookmarkStart w:id="1040" w:name="_Toc125620851"/>
      <w:bookmarkStart w:id="1041" w:name="_Toc125620882"/>
      <w:bookmarkStart w:id="1042" w:name="_Toc125620918"/>
      <w:bookmarkStart w:id="1043" w:name="_Toc125620949"/>
      <w:bookmarkStart w:id="1044" w:name="_Toc125620983"/>
      <w:bookmarkStart w:id="1045" w:name="_Toc125621036"/>
      <w:bookmarkStart w:id="1046" w:name="_Toc125621090"/>
      <w:bookmarkStart w:id="1047" w:name="_Toc125623568"/>
      <w:bookmarkStart w:id="1048" w:name="_Toc125623600"/>
      <w:bookmarkStart w:id="1049" w:name="_Toc125623632"/>
      <w:bookmarkStart w:id="1050" w:name="_Toc125970378"/>
      <w:bookmarkStart w:id="1051" w:name="_Toc125970410"/>
      <w:bookmarkStart w:id="1052" w:name="_Toc127365861"/>
      <w:bookmarkStart w:id="1053" w:name="_Toc127434612"/>
      <w:bookmarkStart w:id="1054" w:name="_Toc127436980"/>
      <w:bookmarkStart w:id="1055" w:name="_Toc127437341"/>
      <w:bookmarkStart w:id="1056" w:name="_Toc127437696"/>
      <w:bookmarkStart w:id="1057" w:name="_Toc133492790"/>
      <w:bookmarkStart w:id="1058" w:name="_Toc133492987"/>
      <w:bookmarkStart w:id="1059" w:name="_Toc133493209"/>
      <w:bookmarkStart w:id="1060" w:name="_Toc133497843"/>
      <w:bookmarkStart w:id="1061" w:name="_Toc133505563"/>
      <w:bookmarkStart w:id="1062" w:name="_Toc133576141"/>
      <w:bookmarkStart w:id="1063" w:name="_Toc133576213"/>
      <w:bookmarkStart w:id="1064" w:name="_Toc133576246"/>
      <w:bookmarkStart w:id="1065" w:name="_Toc133576278"/>
      <w:bookmarkStart w:id="1066" w:name="_Toc133576310"/>
      <w:bookmarkStart w:id="1067" w:name="_Toc133576342"/>
      <w:bookmarkStart w:id="1068" w:name="_Toc133576395"/>
      <w:bookmarkStart w:id="1069" w:name="_Toc133576429"/>
      <w:bookmarkStart w:id="1070" w:name="_Toc133576462"/>
      <w:bookmarkStart w:id="1071" w:name="_Toc133576495"/>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14:paraId="0298658C" w14:textId="77777777" w:rsidR="000F19C1" w:rsidRPr="00FC4688" w:rsidRDefault="000F19C1" w:rsidP="000F19C1">
      <w:pPr>
        <w:pStyle w:val="Prrafodelista"/>
        <w:keepNext/>
        <w:keepLines/>
        <w:numPr>
          <w:ilvl w:val="0"/>
          <w:numId w:val="43"/>
        </w:numPr>
        <w:tabs>
          <w:tab w:val="left" w:pos="426"/>
        </w:tabs>
        <w:spacing w:after="120"/>
        <w:contextualSpacing w:val="0"/>
        <w:outlineLvl w:val="1"/>
        <w:rPr>
          <w:rFonts w:eastAsiaTheme="majorEastAsia" w:cs="Times New Roman"/>
          <w:b/>
          <w:bCs/>
          <w:vanish/>
          <w:sz w:val="24"/>
          <w:szCs w:val="26"/>
          <w:lang w:eastAsia="es-ES"/>
        </w:rPr>
      </w:pPr>
      <w:bookmarkStart w:id="1072" w:name="_Toc55374011"/>
      <w:bookmarkStart w:id="1073" w:name="_Toc55375148"/>
      <w:bookmarkStart w:id="1074" w:name="_Toc55396556"/>
      <w:bookmarkStart w:id="1075" w:name="_Toc65230553"/>
      <w:bookmarkStart w:id="1076" w:name="_Toc65230791"/>
      <w:bookmarkStart w:id="1077" w:name="_Toc65232075"/>
      <w:bookmarkStart w:id="1078" w:name="_Toc65232320"/>
      <w:bookmarkStart w:id="1079" w:name="_Toc66716179"/>
      <w:bookmarkStart w:id="1080" w:name="_Toc71097223"/>
      <w:bookmarkStart w:id="1081" w:name="_Toc71097254"/>
      <w:bookmarkStart w:id="1082" w:name="_Toc71097329"/>
      <w:bookmarkStart w:id="1083" w:name="_Toc71108069"/>
      <w:bookmarkStart w:id="1084" w:name="_Toc79055263"/>
      <w:bookmarkStart w:id="1085" w:name="_Toc79055294"/>
      <w:bookmarkStart w:id="1086" w:name="_Toc79060185"/>
      <w:bookmarkStart w:id="1087" w:name="_Toc79060472"/>
      <w:bookmarkStart w:id="1088" w:name="_Toc81307829"/>
      <w:bookmarkStart w:id="1089" w:name="_Toc83376490"/>
      <w:bookmarkStart w:id="1090" w:name="_Toc86386729"/>
      <w:bookmarkStart w:id="1091" w:name="_Toc86405415"/>
      <w:bookmarkStart w:id="1092" w:name="_Toc98162445"/>
      <w:bookmarkStart w:id="1093" w:name="_Toc98162477"/>
      <w:bookmarkStart w:id="1094" w:name="_Toc98235003"/>
      <w:bookmarkStart w:id="1095" w:name="_Toc98235198"/>
      <w:bookmarkStart w:id="1096" w:name="_Toc98235283"/>
      <w:bookmarkStart w:id="1097" w:name="_Toc98757153"/>
      <w:bookmarkStart w:id="1098" w:name="_Toc101874708"/>
      <w:bookmarkStart w:id="1099" w:name="_Toc101954164"/>
      <w:bookmarkStart w:id="1100" w:name="_Toc101971981"/>
      <w:bookmarkStart w:id="1101" w:name="_Toc101974073"/>
      <w:bookmarkStart w:id="1102" w:name="_Toc102039758"/>
      <w:bookmarkStart w:id="1103" w:name="_Toc102039796"/>
      <w:bookmarkStart w:id="1104" w:name="_Toc102039836"/>
      <w:bookmarkStart w:id="1105" w:name="_Toc102039867"/>
      <w:bookmarkStart w:id="1106" w:name="_Toc102040925"/>
      <w:bookmarkStart w:id="1107" w:name="_Toc102477773"/>
      <w:bookmarkStart w:id="1108" w:name="_Toc102477804"/>
      <w:bookmarkStart w:id="1109" w:name="_Toc109824834"/>
      <w:bookmarkStart w:id="1110" w:name="_Toc109828790"/>
      <w:bookmarkStart w:id="1111" w:name="_Toc109828853"/>
      <w:bookmarkStart w:id="1112" w:name="_Toc109829029"/>
      <w:bookmarkStart w:id="1113" w:name="_Toc109829060"/>
      <w:bookmarkStart w:id="1114" w:name="_Toc109833904"/>
      <w:bookmarkStart w:id="1115" w:name="_Toc110237447"/>
      <w:bookmarkStart w:id="1116" w:name="_Toc117775324"/>
      <w:bookmarkStart w:id="1117" w:name="_Toc117781293"/>
      <w:bookmarkStart w:id="1118" w:name="_Toc125620821"/>
      <w:bookmarkStart w:id="1119" w:name="_Toc125620852"/>
      <w:bookmarkStart w:id="1120" w:name="_Toc125620883"/>
      <w:bookmarkStart w:id="1121" w:name="_Toc125620919"/>
      <w:bookmarkStart w:id="1122" w:name="_Toc125620950"/>
      <w:bookmarkStart w:id="1123" w:name="_Toc125620984"/>
      <w:bookmarkStart w:id="1124" w:name="_Toc125621037"/>
      <w:bookmarkStart w:id="1125" w:name="_Toc125621091"/>
      <w:bookmarkStart w:id="1126" w:name="_Toc125623569"/>
      <w:bookmarkStart w:id="1127" w:name="_Toc125623601"/>
      <w:bookmarkStart w:id="1128" w:name="_Toc125623633"/>
      <w:bookmarkStart w:id="1129" w:name="_Toc125970379"/>
      <w:bookmarkStart w:id="1130" w:name="_Toc125970411"/>
      <w:bookmarkStart w:id="1131" w:name="_Toc127365862"/>
      <w:bookmarkStart w:id="1132" w:name="_Toc127434613"/>
      <w:bookmarkStart w:id="1133" w:name="_Toc127436981"/>
      <w:bookmarkStart w:id="1134" w:name="_Toc127437342"/>
      <w:bookmarkStart w:id="1135" w:name="_Toc127437697"/>
      <w:bookmarkStart w:id="1136" w:name="_Toc133492791"/>
      <w:bookmarkStart w:id="1137" w:name="_Toc133492988"/>
      <w:bookmarkStart w:id="1138" w:name="_Toc133493210"/>
      <w:bookmarkStart w:id="1139" w:name="_Toc133497844"/>
      <w:bookmarkStart w:id="1140" w:name="_Toc133505564"/>
      <w:bookmarkStart w:id="1141" w:name="_Toc133576142"/>
      <w:bookmarkStart w:id="1142" w:name="_Toc133576214"/>
      <w:bookmarkStart w:id="1143" w:name="_Toc133576247"/>
      <w:bookmarkStart w:id="1144" w:name="_Toc133576279"/>
      <w:bookmarkStart w:id="1145" w:name="_Toc133576311"/>
      <w:bookmarkStart w:id="1146" w:name="_Toc133576343"/>
      <w:bookmarkStart w:id="1147" w:name="_Toc133576396"/>
      <w:bookmarkStart w:id="1148" w:name="_Toc133576430"/>
      <w:bookmarkStart w:id="1149" w:name="_Toc133576463"/>
      <w:bookmarkStart w:id="1150" w:name="_Toc133576496"/>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14:paraId="2B7C610F" w14:textId="77777777" w:rsidR="000F19C1" w:rsidRPr="00FC4688" w:rsidRDefault="000F19C1" w:rsidP="000F19C1">
      <w:pPr>
        <w:pStyle w:val="Prrafodelista"/>
        <w:keepNext/>
        <w:keepLines/>
        <w:numPr>
          <w:ilvl w:val="0"/>
          <w:numId w:val="43"/>
        </w:numPr>
        <w:tabs>
          <w:tab w:val="left" w:pos="426"/>
        </w:tabs>
        <w:spacing w:after="120"/>
        <w:contextualSpacing w:val="0"/>
        <w:outlineLvl w:val="1"/>
        <w:rPr>
          <w:rFonts w:eastAsiaTheme="majorEastAsia" w:cs="Times New Roman"/>
          <w:b/>
          <w:bCs/>
          <w:vanish/>
          <w:sz w:val="24"/>
          <w:szCs w:val="26"/>
          <w:lang w:eastAsia="es-ES"/>
        </w:rPr>
      </w:pPr>
      <w:bookmarkStart w:id="1151" w:name="_Toc55374012"/>
      <w:bookmarkStart w:id="1152" w:name="_Toc55375149"/>
      <w:bookmarkStart w:id="1153" w:name="_Toc55396557"/>
      <w:bookmarkStart w:id="1154" w:name="_Toc65230554"/>
      <w:bookmarkStart w:id="1155" w:name="_Toc65230792"/>
      <w:bookmarkStart w:id="1156" w:name="_Toc65232076"/>
      <w:bookmarkStart w:id="1157" w:name="_Toc65232321"/>
      <w:bookmarkStart w:id="1158" w:name="_Toc66716180"/>
      <w:bookmarkStart w:id="1159" w:name="_Toc71097224"/>
      <w:bookmarkStart w:id="1160" w:name="_Toc71097255"/>
      <w:bookmarkStart w:id="1161" w:name="_Toc71097330"/>
      <w:bookmarkStart w:id="1162" w:name="_Toc71108070"/>
      <w:bookmarkStart w:id="1163" w:name="_Toc79055264"/>
      <w:bookmarkStart w:id="1164" w:name="_Toc79055295"/>
      <w:bookmarkStart w:id="1165" w:name="_Toc79060186"/>
      <w:bookmarkStart w:id="1166" w:name="_Toc79060473"/>
      <w:bookmarkStart w:id="1167" w:name="_Toc81307830"/>
      <w:bookmarkStart w:id="1168" w:name="_Toc83376491"/>
      <w:bookmarkStart w:id="1169" w:name="_Toc86386730"/>
      <w:bookmarkStart w:id="1170" w:name="_Toc86405416"/>
      <w:bookmarkStart w:id="1171" w:name="_Toc98162446"/>
      <w:bookmarkStart w:id="1172" w:name="_Toc98162478"/>
      <w:bookmarkStart w:id="1173" w:name="_Toc98235004"/>
      <w:bookmarkStart w:id="1174" w:name="_Toc98235199"/>
      <w:bookmarkStart w:id="1175" w:name="_Toc98235284"/>
      <w:bookmarkStart w:id="1176" w:name="_Toc98757154"/>
      <w:bookmarkStart w:id="1177" w:name="_Toc101874709"/>
      <w:bookmarkStart w:id="1178" w:name="_Toc101954165"/>
      <w:bookmarkStart w:id="1179" w:name="_Toc101971982"/>
      <w:bookmarkStart w:id="1180" w:name="_Toc101974074"/>
      <w:bookmarkStart w:id="1181" w:name="_Toc102039759"/>
      <w:bookmarkStart w:id="1182" w:name="_Toc102039797"/>
      <w:bookmarkStart w:id="1183" w:name="_Toc102039837"/>
      <w:bookmarkStart w:id="1184" w:name="_Toc102039868"/>
      <w:bookmarkStart w:id="1185" w:name="_Toc102040926"/>
      <w:bookmarkStart w:id="1186" w:name="_Toc102477774"/>
      <w:bookmarkStart w:id="1187" w:name="_Toc102477805"/>
      <w:bookmarkStart w:id="1188" w:name="_Toc109824835"/>
      <w:bookmarkStart w:id="1189" w:name="_Toc109828791"/>
      <w:bookmarkStart w:id="1190" w:name="_Toc109828854"/>
      <w:bookmarkStart w:id="1191" w:name="_Toc109829030"/>
      <w:bookmarkStart w:id="1192" w:name="_Toc109829061"/>
      <w:bookmarkStart w:id="1193" w:name="_Toc109833905"/>
      <w:bookmarkStart w:id="1194" w:name="_Toc110237448"/>
      <w:bookmarkStart w:id="1195" w:name="_Toc117775325"/>
      <w:bookmarkStart w:id="1196" w:name="_Toc117781294"/>
      <w:bookmarkStart w:id="1197" w:name="_Toc125620822"/>
      <w:bookmarkStart w:id="1198" w:name="_Toc125620853"/>
      <w:bookmarkStart w:id="1199" w:name="_Toc125620884"/>
      <w:bookmarkStart w:id="1200" w:name="_Toc125620920"/>
      <w:bookmarkStart w:id="1201" w:name="_Toc125620951"/>
      <w:bookmarkStart w:id="1202" w:name="_Toc125620985"/>
      <w:bookmarkStart w:id="1203" w:name="_Toc125621038"/>
      <w:bookmarkStart w:id="1204" w:name="_Toc125621092"/>
      <w:bookmarkStart w:id="1205" w:name="_Toc125623570"/>
      <w:bookmarkStart w:id="1206" w:name="_Toc125623602"/>
      <w:bookmarkStart w:id="1207" w:name="_Toc125623634"/>
      <w:bookmarkStart w:id="1208" w:name="_Toc125970380"/>
      <w:bookmarkStart w:id="1209" w:name="_Toc125970412"/>
      <w:bookmarkStart w:id="1210" w:name="_Toc127365863"/>
      <w:bookmarkStart w:id="1211" w:name="_Toc127434614"/>
      <w:bookmarkStart w:id="1212" w:name="_Toc127436982"/>
      <w:bookmarkStart w:id="1213" w:name="_Toc127437343"/>
      <w:bookmarkStart w:id="1214" w:name="_Toc127437698"/>
      <w:bookmarkStart w:id="1215" w:name="_Toc133492792"/>
      <w:bookmarkStart w:id="1216" w:name="_Toc133492989"/>
      <w:bookmarkStart w:id="1217" w:name="_Toc133493211"/>
      <w:bookmarkStart w:id="1218" w:name="_Toc133497845"/>
      <w:bookmarkStart w:id="1219" w:name="_Toc133505565"/>
      <w:bookmarkStart w:id="1220" w:name="_Toc133576143"/>
      <w:bookmarkStart w:id="1221" w:name="_Toc133576215"/>
      <w:bookmarkStart w:id="1222" w:name="_Toc133576248"/>
      <w:bookmarkStart w:id="1223" w:name="_Toc133576280"/>
      <w:bookmarkStart w:id="1224" w:name="_Toc133576312"/>
      <w:bookmarkStart w:id="1225" w:name="_Toc133576344"/>
      <w:bookmarkStart w:id="1226" w:name="_Toc133576397"/>
      <w:bookmarkStart w:id="1227" w:name="_Toc133576431"/>
      <w:bookmarkStart w:id="1228" w:name="_Toc133576464"/>
      <w:bookmarkStart w:id="1229" w:name="_Toc133576497"/>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14:paraId="5DA454F1" w14:textId="77777777" w:rsidR="000F19C1" w:rsidRPr="00FC4688" w:rsidRDefault="000F19C1" w:rsidP="000F19C1">
      <w:pPr>
        <w:pStyle w:val="Prrafodelista"/>
        <w:keepNext/>
        <w:keepLines/>
        <w:numPr>
          <w:ilvl w:val="0"/>
          <w:numId w:val="43"/>
        </w:numPr>
        <w:tabs>
          <w:tab w:val="left" w:pos="426"/>
        </w:tabs>
        <w:spacing w:after="120"/>
        <w:contextualSpacing w:val="0"/>
        <w:outlineLvl w:val="1"/>
        <w:rPr>
          <w:rFonts w:eastAsiaTheme="majorEastAsia" w:cs="Times New Roman"/>
          <w:b/>
          <w:bCs/>
          <w:vanish/>
          <w:sz w:val="24"/>
          <w:szCs w:val="26"/>
          <w:lang w:eastAsia="es-ES"/>
        </w:rPr>
      </w:pPr>
      <w:bookmarkStart w:id="1230" w:name="_Toc55374013"/>
      <w:bookmarkStart w:id="1231" w:name="_Toc55375150"/>
      <w:bookmarkStart w:id="1232" w:name="_Toc55396558"/>
      <w:bookmarkStart w:id="1233" w:name="_Toc65230555"/>
      <w:bookmarkStart w:id="1234" w:name="_Toc65230793"/>
      <w:bookmarkStart w:id="1235" w:name="_Toc65232077"/>
      <w:bookmarkStart w:id="1236" w:name="_Toc65232322"/>
      <w:bookmarkStart w:id="1237" w:name="_Toc66716181"/>
      <w:bookmarkStart w:id="1238" w:name="_Toc71097225"/>
      <w:bookmarkStart w:id="1239" w:name="_Toc71097256"/>
      <w:bookmarkStart w:id="1240" w:name="_Toc71097331"/>
      <w:bookmarkStart w:id="1241" w:name="_Toc71108071"/>
      <w:bookmarkStart w:id="1242" w:name="_Toc79055265"/>
      <w:bookmarkStart w:id="1243" w:name="_Toc79055296"/>
      <w:bookmarkStart w:id="1244" w:name="_Toc79060187"/>
      <w:bookmarkStart w:id="1245" w:name="_Toc79060474"/>
      <w:bookmarkStart w:id="1246" w:name="_Toc81307831"/>
      <w:bookmarkStart w:id="1247" w:name="_Toc83376492"/>
      <w:bookmarkStart w:id="1248" w:name="_Toc86386731"/>
      <w:bookmarkStart w:id="1249" w:name="_Toc86405417"/>
      <w:bookmarkStart w:id="1250" w:name="_Toc98162447"/>
      <w:bookmarkStart w:id="1251" w:name="_Toc98162479"/>
      <w:bookmarkStart w:id="1252" w:name="_Toc98235005"/>
      <w:bookmarkStart w:id="1253" w:name="_Toc98235200"/>
      <w:bookmarkStart w:id="1254" w:name="_Toc98235285"/>
      <w:bookmarkStart w:id="1255" w:name="_Toc98757155"/>
      <w:bookmarkStart w:id="1256" w:name="_Toc101874710"/>
      <w:bookmarkStart w:id="1257" w:name="_Toc101954166"/>
      <w:bookmarkStart w:id="1258" w:name="_Toc101971983"/>
      <w:bookmarkStart w:id="1259" w:name="_Toc101974075"/>
      <w:bookmarkStart w:id="1260" w:name="_Toc102039760"/>
      <w:bookmarkStart w:id="1261" w:name="_Toc102039798"/>
      <w:bookmarkStart w:id="1262" w:name="_Toc102039838"/>
      <w:bookmarkStart w:id="1263" w:name="_Toc102039869"/>
      <w:bookmarkStart w:id="1264" w:name="_Toc102040927"/>
      <w:bookmarkStart w:id="1265" w:name="_Toc102477775"/>
      <w:bookmarkStart w:id="1266" w:name="_Toc102477806"/>
      <w:bookmarkStart w:id="1267" w:name="_Toc109824836"/>
      <w:bookmarkStart w:id="1268" w:name="_Toc109828792"/>
      <w:bookmarkStart w:id="1269" w:name="_Toc109828855"/>
      <w:bookmarkStart w:id="1270" w:name="_Toc109829031"/>
      <w:bookmarkStart w:id="1271" w:name="_Toc109829062"/>
      <w:bookmarkStart w:id="1272" w:name="_Toc109833906"/>
      <w:bookmarkStart w:id="1273" w:name="_Toc110237449"/>
      <w:bookmarkStart w:id="1274" w:name="_Toc117775326"/>
      <w:bookmarkStart w:id="1275" w:name="_Toc117781295"/>
      <w:bookmarkStart w:id="1276" w:name="_Toc125620823"/>
      <w:bookmarkStart w:id="1277" w:name="_Toc125620854"/>
      <w:bookmarkStart w:id="1278" w:name="_Toc125620885"/>
      <w:bookmarkStart w:id="1279" w:name="_Toc125620921"/>
      <w:bookmarkStart w:id="1280" w:name="_Toc125620952"/>
      <w:bookmarkStart w:id="1281" w:name="_Toc125620986"/>
      <w:bookmarkStart w:id="1282" w:name="_Toc125621039"/>
      <w:bookmarkStart w:id="1283" w:name="_Toc125621093"/>
      <w:bookmarkStart w:id="1284" w:name="_Toc125623571"/>
      <w:bookmarkStart w:id="1285" w:name="_Toc125623603"/>
      <w:bookmarkStart w:id="1286" w:name="_Toc125623635"/>
      <w:bookmarkStart w:id="1287" w:name="_Toc125970381"/>
      <w:bookmarkStart w:id="1288" w:name="_Toc125970413"/>
      <w:bookmarkStart w:id="1289" w:name="_Toc127365864"/>
      <w:bookmarkStart w:id="1290" w:name="_Toc127434615"/>
      <w:bookmarkStart w:id="1291" w:name="_Toc127436983"/>
      <w:bookmarkStart w:id="1292" w:name="_Toc127437344"/>
      <w:bookmarkStart w:id="1293" w:name="_Toc127437699"/>
      <w:bookmarkStart w:id="1294" w:name="_Toc133492793"/>
      <w:bookmarkStart w:id="1295" w:name="_Toc133492990"/>
      <w:bookmarkStart w:id="1296" w:name="_Toc133493212"/>
      <w:bookmarkStart w:id="1297" w:name="_Toc133497846"/>
      <w:bookmarkStart w:id="1298" w:name="_Toc133505566"/>
      <w:bookmarkStart w:id="1299" w:name="_Toc133576144"/>
      <w:bookmarkStart w:id="1300" w:name="_Toc133576216"/>
      <w:bookmarkStart w:id="1301" w:name="_Toc133576249"/>
      <w:bookmarkStart w:id="1302" w:name="_Toc133576281"/>
      <w:bookmarkStart w:id="1303" w:name="_Toc133576313"/>
      <w:bookmarkStart w:id="1304" w:name="_Toc133576345"/>
      <w:bookmarkStart w:id="1305" w:name="_Toc133576398"/>
      <w:bookmarkStart w:id="1306" w:name="_Toc133576432"/>
      <w:bookmarkStart w:id="1307" w:name="_Toc133576465"/>
      <w:bookmarkStart w:id="1308" w:name="_Toc133576498"/>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14:paraId="045B7FE4" w14:textId="77777777" w:rsidR="00C56688" w:rsidRPr="00FC4688" w:rsidRDefault="00C56688" w:rsidP="00C56688">
      <w:pPr>
        <w:pStyle w:val="Prrafodelista"/>
        <w:keepNext/>
        <w:keepLines/>
        <w:numPr>
          <w:ilvl w:val="0"/>
          <w:numId w:val="12"/>
        </w:numPr>
        <w:tabs>
          <w:tab w:val="left" w:pos="426"/>
        </w:tabs>
        <w:spacing w:after="120"/>
        <w:contextualSpacing w:val="0"/>
        <w:outlineLvl w:val="1"/>
        <w:rPr>
          <w:rFonts w:eastAsiaTheme="majorEastAsia" w:cs="Times New Roman"/>
          <w:b/>
          <w:bCs/>
          <w:vanish/>
          <w:sz w:val="24"/>
          <w:szCs w:val="26"/>
          <w:lang w:eastAsia="es-ES"/>
        </w:rPr>
      </w:pPr>
      <w:bookmarkStart w:id="1309" w:name="_Toc55374014"/>
      <w:bookmarkStart w:id="1310" w:name="_Toc55375151"/>
      <w:bookmarkStart w:id="1311" w:name="_Toc55396559"/>
      <w:bookmarkStart w:id="1312" w:name="_Toc65230556"/>
      <w:bookmarkStart w:id="1313" w:name="_Toc65230794"/>
      <w:bookmarkStart w:id="1314" w:name="_Toc65232078"/>
      <w:bookmarkStart w:id="1315" w:name="_Toc65232323"/>
      <w:bookmarkStart w:id="1316" w:name="_Toc66716182"/>
      <w:bookmarkStart w:id="1317" w:name="_Toc71097226"/>
      <w:bookmarkStart w:id="1318" w:name="_Toc71097257"/>
      <w:bookmarkStart w:id="1319" w:name="_Toc71097332"/>
      <w:bookmarkStart w:id="1320" w:name="_Toc71108072"/>
      <w:bookmarkStart w:id="1321" w:name="_Toc79055266"/>
      <w:bookmarkStart w:id="1322" w:name="_Toc79055297"/>
      <w:bookmarkStart w:id="1323" w:name="_Toc79060188"/>
      <w:bookmarkStart w:id="1324" w:name="_Toc79060475"/>
      <w:bookmarkStart w:id="1325" w:name="_Toc81307832"/>
      <w:bookmarkStart w:id="1326" w:name="_Toc83376493"/>
      <w:bookmarkStart w:id="1327" w:name="_Toc86386732"/>
      <w:bookmarkStart w:id="1328" w:name="_Toc86405418"/>
      <w:bookmarkStart w:id="1329" w:name="_Toc98162448"/>
      <w:bookmarkStart w:id="1330" w:name="_Toc98162480"/>
      <w:bookmarkStart w:id="1331" w:name="_Toc98235006"/>
      <w:bookmarkStart w:id="1332" w:name="_Toc98235201"/>
      <w:bookmarkStart w:id="1333" w:name="_Toc98235286"/>
      <w:bookmarkStart w:id="1334" w:name="_Toc98757156"/>
      <w:bookmarkStart w:id="1335" w:name="_Toc101874711"/>
      <w:bookmarkStart w:id="1336" w:name="_Toc101954167"/>
      <w:bookmarkStart w:id="1337" w:name="_Toc101971984"/>
      <w:bookmarkStart w:id="1338" w:name="_Toc101974076"/>
      <w:bookmarkStart w:id="1339" w:name="_Toc102039761"/>
      <w:bookmarkStart w:id="1340" w:name="_Toc102039799"/>
      <w:bookmarkStart w:id="1341" w:name="_Toc102039839"/>
      <w:bookmarkStart w:id="1342" w:name="_Toc102039870"/>
      <w:bookmarkStart w:id="1343" w:name="_Toc102040928"/>
      <w:bookmarkStart w:id="1344" w:name="_Toc102477776"/>
      <w:bookmarkStart w:id="1345" w:name="_Toc102477807"/>
      <w:bookmarkStart w:id="1346" w:name="_Toc109824837"/>
      <w:bookmarkStart w:id="1347" w:name="_Toc109828793"/>
      <w:bookmarkStart w:id="1348" w:name="_Toc109828856"/>
      <w:bookmarkStart w:id="1349" w:name="_Toc109829032"/>
      <w:bookmarkStart w:id="1350" w:name="_Toc109829063"/>
      <w:bookmarkStart w:id="1351" w:name="_Toc109833907"/>
      <w:bookmarkStart w:id="1352" w:name="_Toc110237450"/>
      <w:bookmarkStart w:id="1353" w:name="_Toc117775327"/>
      <w:bookmarkStart w:id="1354" w:name="_Toc117781296"/>
      <w:bookmarkStart w:id="1355" w:name="_Toc125620824"/>
      <w:bookmarkStart w:id="1356" w:name="_Toc125620855"/>
      <w:bookmarkStart w:id="1357" w:name="_Toc125620886"/>
      <w:bookmarkStart w:id="1358" w:name="_Toc125620922"/>
      <w:bookmarkStart w:id="1359" w:name="_Toc125620953"/>
      <w:bookmarkStart w:id="1360" w:name="_Toc125620987"/>
      <w:bookmarkStart w:id="1361" w:name="_Toc125621040"/>
      <w:bookmarkStart w:id="1362" w:name="_Toc125621094"/>
      <w:bookmarkStart w:id="1363" w:name="_Toc125623572"/>
      <w:bookmarkStart w:id="1364" w:name="_Toc125623604"/>
      <w:bookmarkStart w:id="1365" w:name="_Toc125623636"/>
      <w:bookmarkStart w:id="1366" w:name="_Toc125970382"/>
      <w:bookmarkStart w:id="1367" w:name="_Toc125970414"/>
      <w:bookmarkStart w:id="1368" w:name="_Toc127365865"/>
      <w:bookmarkStart w:id="1369" w:name="_Toc127434616"/>
      <w:bookmarkStart w:id="1370" w:name="_Toc127436984"/>
      <w:bookmarkStart w:id="1371" w:name="_Toc127437345"/>
      <w:bookmarkStart w:id="1372" w:name="_Toc127437700"/>
      <w:bookmarkStart w:id="1373" w:name="_Toc133492794"/>
      <w:bookmarkStart w:id="1374" w:name="_Toc133492991"/>
      <w:bookmarkStart w:id="1375" w:name="_Toc133493213"/>
      <w:bookmarkStart w:id="1376" w:name="_Toc133497847"/>
      <w:bookmarkStart w:id="1377" w:name="_Toc133505567"/>
      <w:bookmarkStart w:id="1378" w:name="_Toc133576145"/>
      <w:bookmarkStart w:id="1379" w:name="_Toc133576217"/>
      <w:bookmarkStart w:id="1380" w:name="_Toc133576250"/>
      <w:bookmarkStart w:id="1381" w:name="_Toc133576282"/>
      <w:bookmarkStart w:id="1382" w:name="_Toc133576314"/>
      <w:bookmarkStart w:id="1383" w:name="_Toc133576346"/>
      <w:bookmarkStart w:id="1384" w:name="_Toc133576399"/>
      <w:bookmarkStart w:id="1385" w:name="_Toc133576433"/>
      <w:bookmarkStart w:id="1386" w:name="_Toc133576466"/>
      <w:bookmarkStart w:id="1387" w:name="_Toc133576499"/>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14:paraId="4545F53E" w14:textId="2BCC9C29" w:rsidR="00490038" w:rsidRPr="00FC4688" w:rsidRDefault="00C23BDB" w:rsidP="00C56688">
      <w:pPr>
        <w:pStyle w:val="Ttulo2"/>
        <w:numPr>
          <w:ilvl w:val="1"/>
          <w:numId w:val="12"/>
        </w:numPr>
        <w:tabs>
          <w:tab w:val="left" w:pos="426"/>
        </w:tabs>
        <w:spacing w:before="0"/>
        <w:rPr>
          <w:rFonts w:ascii="Times New Roman" w:hAnsi="Times New Roman" w:cs="Times New Roman"/>
          <w:color w:val="auto"/>
          <w:sz w:val="24"/>
        </w:rPr>
      </w:pPr>
      <w:bookmarkStart w:id="1388" w:name="_Toc133576500"/>
      <w:r>
        <w:rPr>
          <w:rFonts w:ascii="Times New Roman" w:hAnsi="Times New Roman" w:cs="Times New Roman"/>
          <w:color w:val="auto"/>
          <w:sz w:val="24"/>
        </w:rPr>
        <w:t xml:space="preserve">Las erogaciones </w:t>
      </w:r>
      <w:r w:rsidR="0041020F">
        <w:rPr>
          <w:rFonts w:ascii="Times New Roman" w:hAnsi="Times New Roman" w:cs="Times New Roman"/>
          <w:color w:val="auto"/>
          <w:sz w:val="24"/>
        </w:rPr>
        <w:t xml:space="preserve">en Servicios </w:t>
      </w:r>
      <w:r w:rsidR="0065733C">
        <w:rPr>
          <w:rFonts w:ascii="Times New Roman" w:hAnsi="Times New Roman" w:cs="Times New Roman"/>
          <w:color w:val="auto"/>
          <w:sz w:val="24"/>
        </w:rPr>
        <w:t xml:space="preserve">Públicos y Asuntos económicos han sido las </w:t>
      </w:r>
      <w:r w:rsidR="00FE7090">
        <w:rPr>
          <w:rFonts w:ascii="Times New Roman" w:hAnsi="Times New Roman" w:cs="Times New Roman"/>
          <w:color w:val="auto"/>
          <w:sz w:val="24"/>
        </w:rPr>
        <w:t>más</w:t>
      </w:r>
      <w:r w:rsidR="0065733C">
        <w:rPr>
          <w:rFonts w:ascii="Times New Roman" w:hAnsi="Times New Roman" w:cs="Times New Roman"/>
          <w:color w:val="auto"/>
          <w:sz w:val="24"/>
        </w:rPr>
        <w:t xml:space="preserve"> dinámicas</w:t>
      </w:r>
      <w:bookmarkEnd w:id="1388"/>
    </w:p>
    <w:p w14:paraId="4AFE3484" w14:textId="3EAC0E6D" w:rsidR="006F3389" w:rsidRPr="004A14FB" w:rsidRDefault="00CE59B0" w:rsidP="006F3389">
      <w:pPr>
        <w:rPr>
          <w:rFonts w:cs="Times New Roman"/>
          <w:szCs w:val="22"/>
        </w:rPr>
      </w:pPr>
      <w:r>
        <w:rPr>
          <w:rFonts w:cs="Times New Roman"/>
          <w:szCs w:val="22"/>
        </w:rPr>
        <w:t>Durante el primer trimestre del 2023</w:t>
      </w:r>
      <w:r w:rsidR="006F3389" w:rsidRPr="004A14FB">
        <w:rPr>
          <w:rFonts w:cs="Times New Roman"/>
          <w:szCs w:val="22"/>
        </w:rPr>
        <w:t xml:space="preserve"> las erogaciones del Gobierno Central Presupuestario ascendieron a Q</w:t>
      </w:r>
      <w:r w:rsidR="008B3AED">
        <w:rPr>
          <w:rFonts w:cs="Times New Roman"/>
          <w:szCs w:val="22"/>
        </w:rPr>
        <w:t xml:space="preserve">25,085.9 </w:t>
      </w:r>
      <w:r w:rsidR="006F3389" w:rsidRPr="004A14FB">
        <w:rPr>
          <w:rFonts w:cs="Times New Roman"/>
          <w:szCs w:val="22"/>
        </w:rPr>
        <w:t>millones</w:t>
      </w:r>
      <w:r w:rsidR="008B3AED">
        <w:rPr>
          <w:rFonts w:cs="Times New Roman"/>
          <w:szCs w:val="22"/>
        </w:rPr>
        <w:t xml:space="preserve"> y siendo este un aumento d</w:t>
      </w:r>
      <w:r w:rsidR="00F72830">
        <w:rPr>
          <w:rFonts w:cs="Times New Roman"/>
          <w:szCs w:val="22"/>
        </w:rPr>
        <w:t>e</w:t>
      </w:r>
      <w:r w:rsidR="00486AC6">
        <w:rPr>
          <w:rFonts w:cs="Times New Roman"/>
          <w:szCs w:val="22"/>
        </w:rPr>
        <w:t>l</w:t>
      </w:r>
      <w:r w:rsidR="00F72830">
        <w:rPr>
          <w:rFonts w:cs="Times New Roman"/>
          <w:szCs w:val="22"/>
        </w:rPr>
        <w:t xml:space="preserve"> </w:t>
      </w:r>
      <w:r w:rsidR="00AC4BD7">
        <w:rPr>
          <w:rFonts w:cs="Times New Roman"/>
          <w:szCs w:val="22"/>
        </w:rPr>
        <w:t>19</w:t>
      </w:r>
      <w:r w:rsidR="00720746">
        <w:rPr>
          <w:rFonts w:cs="Times New Roman"/>
          <w:szCs w:val="22"/>
        </w:rPr>
        <w:t>.0</w:t>
      </w:r>
      <w:r w:rsidR="00AC4BD7">
        <w:rPr>
          <w:rFonts w:cs="Times New Roman"/>
          <w:szCs w:val="22"/>
        </w:rPr>
        <w:t>%</w:t>
      </w:r>
      <w:r w:rsidR="00F72830">
        <w:rPr>
          <w:rFonts w:cs="Times New Roman"/>
          <w:szCs w:val="22"/>
        </w:rPr>
        <w:t xml:space="preserve"> </w:t>
      </w:r>
      <w:r w:rsidR="00AC4BD7">
        <w:rPr>
          <w:rFonts w:cs="Times New Roman"/>
          <w:szCs w:val="22"/>
        </w:rPr>
        <w:t>(</w:t>
      </w:r>
      <w:r w:rsidR="00F72830">
        <w:rPr>
          <w:rFonts w:cs="Times New Roman"/>
          <w:szCs w:val="22"/>
        </w:rPr>
        <w:t>Q</w:t>
      </w:r>
      <w:r w:rsidR="00F72830" w:rsidRPr="00F72830">
        <w:rPr>
          <w:rFonts w:cs="Times New Roman"/>
          <w:szCs w:val="22"/>
        </w:rPr>
        <w:t>4,005.5</w:t>
      </w:r>
      <w:r w:rsidR="00F72830">
        <w:rPr>
          <w:rFonts w:cs="Times New Roman"/>
          <w:szCs w:val="22"/>
        </w:rPr>
        <w:t xml:space="preserve"> millones</w:t>
      </w:r>
      <w:r w:rsidR="00AC4BD7">
        <w:rPr>
          <w:rFonts w:cs="Times New Roman"/>
          <w:szCs w:val="22"/>
        </w:rPr>
        <w:t>)</w:t>
      </w:r>
      <w:r w:rsidR="00F72830">
        <w:rPr>
          <w:rFonts w:cs="Times New Roman"/>
          <w:szCs w:val="22"/>
        </w:rPr>
        <w:t xml:space="preserve"> respecto al año </w:t>
      </w:r>
      <w:r w:rsidR="00AC4BD7">
        <w:rPr>
          <w:rFonts w:cs="Times New Roman"/>
          <w:szCs w:val="22"/>
        </w:rPr>
        <w:t>previo</w:t>
      </w:r>
      <w:r w:rsidR="00486AC6">
        <w:rPr>
          <w:rFonts w:cs="Times New Roman"/>
          <w:szCs w:val="22"/>
        </w:rPr>
        <w:t>.</w:t>
      </w:r>
      <w:r w:rsidR="00B3766D">
        <w:rPr>
          <w:rFonts w:cs="Times New Roman"/>
          <w:szCs w:val="22"/>
        </w:rPr>
        <w:t xml:space="preserve"> </w:t>
      </w:r>
      <w:r w:rsidR="00486AC6">
        <w:rPr>
          <w:rFonts w:cs="Times New Roman"/>
          <w:szCs w:val="22"/>
        </w:rPr>
        <w:t>C</w:t>
      </w:r>
      <w:r w:rsidR="00B3766D">
        <w:rPr>
          <w:rFonts w:cs="Times New Roman"/>
          <w:szCs w:val="22"/>
        </w:rPr>
        <w:t>abe mencionar</w:t>
      </w:r>
      <w:r w:rsidR="00486AC6">
        <w:rPr>
          <w:rFonts w:cs="Times New Roman"/>
          <w:szCs w:val="22"/>
        </w:rPr>
        <w:t xml:space="preserve"> que</w:t>
      </w:r>
      <w:r w:rsidR="00B3766D">
        <w:rPr>
          <w:rFonts w:cs="Times New Roman"/>
          <w:szCs w:val="22"/>
        </w:rPr>
        <w:t xml:space="preserve"> las erogaciones </w:t>
      </w:r>
      <w:r w:rsidR="00486AC6">
        <w:rPr>
          <w:rFonts w:cs="Times New Roman"/>
          <w:szCs w:val="22"/>
        </w:rPr>
        <w:t>enfocadas a</w:t>
      </w:r>
      <w:r w:rsidR="00B3766D">
        <w:rPr>
          <w:rFonts w:cs="Times New Roman"/>
          <w:szCs w:val="22"/>
        </w:rPr>
        <w:t xml:space="preserve"> la función de servicios públicos generales </w:t>
      </w:r>
      <w:r w:rsidR="009B1F7A">
        <w:rPr>
          <w:rFonts w:cs="Times New Roman"/>
          <w:szCs w:val="22"/>
        </w:rPr>
        <w:t>ha</w:t>
      </w:r>
      <w:r w:rsidR="00957B19">
        <w:rPr>
          <w:rFonts w:cs="Times New Roman"/>
          <w:szCs w:val="22"/>
        </w:rPr>
        <w:t>n</w:t>
      </w:r>
      <w:r w:rsidR="009B1F7A">
        <w:rPr>
          <w:rFonts w:cs="Times New Roman"/>
          <w:szCs w:val="22"/>
        </w:rPr>
        <w:t xml:space="preserve"> sido la</w:t>
      </w:r>
      <w:r w:rsidR="00957B19">
        <w:rPr>
          <w:rFonts w:cs="Times New Roman"/>
          <w:szCs w:val="22"/>
        </w:rPr>
        <w:t>s</w:t>
      </w:r>
      <w:r w:rsidR="009B1F7A">
        <w:rPr>
          <w:rFonts w:cs="Times New Roman"/>
          <w:szCs w:val="22"/>
        </w:rPr>
        <w:t xml:space="preserve"> que mayor aumento ha tenido durante los primeros tres meses del año, </w:t>
      </w:r>
      <w:r w:rsidR="00860DB6">
        <w:rPr>
          <w:rFonts w:cs="Times New Roman"/>
          <w:szCs w:val="22"/>
        </w:rPr>
        <w:t xml:space="preserve">alcanzando una ejecución de Q4,877.9 millones y siendo un aumento del </w:t>
      </w:r>
      <w:r w:rsidR="00EA1100">
        <w:rPr>
          <w:rFonts w:cs="Times New Roman"/>
          <w:szCs w:val="22"/>
        </w:rPr>
        <w:t>36.8% (Q</w:t>
      </w:r>
      <w:r w:rsidR="00EA1100" w:rsidRPr="00EA1100">
        <w:rPr>
          <w:rFonts w:cs="Times New Roman"/>
          <w:szCs w:val="22"/>
        </w:rPr>
        <w:t>1,313.1</w:t>
      </w:r>
      <w:r w:rsidR="00EA1100">
        <w:rPr>
          <w:rFonts w:cs="Times New Roman"/>
          <w:szCs w:val="22"/>
        </w:rPr>
        <w:t>) millones</w:t>
      </w:r>
      <w:r w:rsidR="00957B19">
        <w:rPr>
          <w:rFonts w:cs="Times New Roman"/>
          <w:szCs w:val="22"/>
        </w:rPr>
        <w:t xml:space="preserve"> respecto a 2022</w:t>
      </w:r>
      <w:r w:rsidR="006F3389" w:rsidRPr="004A14FB">
        <w:rPr>
          <w:rFonts w:cs="Times New Roman"/>
          <w:szCs w:val="22"/>
        </w:rPr>
        <w:t>.</w:t>
      </w:r>
      <w:r w:rsidR="00957B19">
        <w:rPr>
          <w:rFonts w:cs="Times New Roman"/>
          <w:szCs w:val="22"/>
        </w:rPr>
        <w:t xml:space="preserve"> La principal razón del </w:t>
      </w:r>
      <w:r w:rsidR="0073165A">
        <w:rPr>
          <w:rFonts w:cs="Times New Roman"/>
          <w:szCs w:val="22"/>
        </w:rPr>
        <w:t>aumento</w:t>
      </w:r>
      <w:r w:rsidR="00957B19">
        <w:rPr>
          <w:rFonts w:cs="Times New Roman"/>
          <w:szCs w:val="22"/>
        </w:rPr>
        <w:t xml:space="preserve"> en esta función </w:t>
      </w:r>
      <w:r w:rsidR="0073165A">
        <w:rPr>
          <w:rFonts w:cs="Times New Roman"/>
          <w:szCs w:val="22"/>
        </w:rPr>
        <w:t xml:space="preserve">se debe a las operaciones relacionadas </w:t>
      </w:r>
      <w:r w:rsidR="000F794A">
        <w:rPr>
          <w:rFonts w:cs="Times New Roman"/>
          <w:szCs w:val="22"/>
        </w:rPr>
        <w:t xml:space="preserve">a </w:t>
      </w:r>
      <w:r w:rsidR="00605D17">
        <w:rPr>
          <w:rFonts w:cs="Times New Roman"/>
          <w:szCs w:val="22"/>
        </w:rPr>
        <w:t>las transacciones de deuda pública que asciende a Q</w:t>
      </w:r>
      <w:r w:rsidR="00605D17" w:rsidRPr="00605D17">
        <w:rPr>
          <w:rFonts w:cs="Times New Roman"/>
          <w:szCs w:val="22"/>
        </w:rPr>
        <w:t>2,683.0</w:t>
      </w:r>
      <w:r w:rsidR="00605D17">
        <w:rPr>
          <w:rFonts w:cs="Times New Roman"/>
          <w:szCs w:val="22"/>
        </w:rPr>
        <w:t xml:space="preserve"> millones</w:t>
      </w:r>
      <w:r w:rsidR="000F794A">
        <w:rPr>
          <w:rFonts w:cs="Times New Roman"/>
          <w:szCs w:val="22"/>
        </w:rPr>
        <w:t>,</w:t>
      </w:r>
      <w:r w:rsidR="00D30C20">
        <w:rPr>
          <w:rFonts w:cs="Times New Roman"/>
          <w:szCs w:val="22"/>
        </w:rPr>
        <w:t xml:space="preserve"> con un aumento del </w:t>
      </w:r>
      <w:r w:rsidR="00223887">
        <w:rPr>
          <w:rFonts w:cs="Times New Roman"/>
          <w:szCs w:val="22"/>
        </w:rPr>
        <w:t>29</w:t>
      </w:r>
      <w:r w:rsidR="00D27CA3">
        <w:rPr>
          <w:rFonts w:cs="Times New Roman"/>
          <w:szCs w:val="22"/>
        </w:rPr>
        <w:t>.1</w:t>
      </w:r>
      <w:r w:rsidR="00223887">
        <w:rPr>
          <w:rFonts w:cs="Times New Roman"/>
          <w:szCs w:val="22"/>
        </w:rPr>
        <w:t>% (Q</w:t>
      </w:r>
      <w:r w:rsidR="00623201">
        <w:rPr>
          <w:rFonts w:cs="Times New Roman"/>
          <w:szCs w:val="22"/>
        </w:rPr>
        <w:t>605.</w:t>
      </w:r>
      <w:r w:rsidR="008755BA">
        <w:rPr>
          <w:rFonts w:cs="Times New Roman"/>
          <w:szCs w:val="22"/>
        </w:rPr>
        <w:t>2</w:t>
      </w:r>
      <w:r w:rsidR="00623201">
        <w:rPr>
          <w:rFonts w:cs="Times New Roman"/>
          <w:szCs w:val="22"/>
        </w:rPr>
        <w:t xml:space="preserve"> millones) y los servicios generales </w:t>
      </w:r>
      <w:r w:rsidR="00390916">
        <w:rPr>
          <w:rFonts w:cs="Times New Roman"/>
          <w:szCs w:val="22"/>
        </w:rPr>
        <w:t>que fueron de Q681.8 millones</w:t>
      </w:r>
      <w:r w:rsidR="000F794A">
        <w:rPr>
          <w:rFonts w:cs="Times New Roman"/>
          <w:szCs w:val="22"/>
        </w:rPr>
        <w:t>,</w:t>
      </w:r>
      <w:r w:rsidR="008E3D65">
        <w:rPr>
          <w:rFonts w:cs="Times New Roman"/>
          <w:szCs w:val="22"/>
        </w:rPr>
        <w:t xml:space="preserve"> con un aumento interanual del </w:t>
      </w:r>
      <w:r w:rsidR="00EB15E0">
        <w:rPr>
          <w:rFonts w:cs="Times New Roman"/>
          <w:szCs w:val="22"/>
        </w:rPr>
        <w:t>214.3% (Q</w:t>
      </w:r>
      <w:r w:rsidR="00F129B5" w:rsidRPr="00F129B5">
        <w:rPr>
          <w:rFonts w:cs="Times New Roman"/>
          <w:szCs w:val="22"/>
        </w:rPr>
        <w:t>464.</w:t>
      </w:r>
      <w:r w:rsidR="00666160">
        <w:rPr>
          <w:rFonts w:cs="Times New Roman"/>
          <w:szCs w:val="22"/>
        </w:rPr>
        <w:t>9</w:t>
      </w:r>
      <w:r w:rsidR="00F129B5">
        <w:rPr>
          <w:rFonts w:cs="Times New Roman"/>
          <w:szCs w:val="22"/>
        </w:rPr>
        <w:t xml:space="preserve"> millones)</w:t>
      </w:r>
      <w:r w:rsidR="000F794A">
        <w:rPr>
          <w:rFonts w:cs="Times New Roman"/>
          <w:szCs w:val="22"/>
        </w:rPr>
        <w:t xml:space="preserve">.  </w:t>
      </w:r>
      <w:r w:rsidR="000F794A" w:rsidRPr="000F794A">
        <w:rPr>
          <w:rFonts w:cs="Times New Roman"/>
          <w:szCs w:val="22"/>
        </w:rPr>
        <w:t>De lo anterior,</w:t>
      </w:r>
      <w:r w:rsidR="00F129B5" w:rsidRPr="000F794A">
        <w:rPr>
          <w:rFonts w:cs="Times New Roman"/>
          <w:szCs w:val="22"/>
        </w:rPr>
        <w:t xml:space="preserve"> </w:t>
      </w:r>
      <w:r w:rsidR="00F653E1" w:rsidRPr="000F794A">
        <w:rPr>
          <w:rFonts w:cs="Times New Roman"/>
          <w:szCs w:val="22"/>
        </w:rPr>
        <w:t xml:space="preserve">se incluye </w:t>
      </w:r>
      <w:r w:rsidR="00766930" w:rsidRPr="000F794A">
        <w:rPr>
          <w:rFonts w:cs="Times New Roman"/>
          <w:szCs w:val="22"/>
        </w:rPr>
        <w:t xml:space="preserve">algunos </w:t>
      </w:r>
      <w:r w:rsidR="00F653E1" w:rsidRPr="000F794A">
        <w:rPr>
          <w:rFonts w:cs="Times New Roman"/>
          <w:szCs w:val="22"/>
        </w:rPr>
        <w:t>gasto</w:t>
      </w:r>
      <w:r w:rsidR="00180159" w:rsidRPr="000F794A">
        <w:rPr>
          <w:rFonts w:cs="Times New Roman"/>
          <w:szCs w:val="22"/>
        </w:rPr>
        <w:t>s</w:t>
      </w:r>
      <w:r w:rsidR="00F653E1" w:rsidRPr="000F794A">
        <w:rPr>
          <w:rFonts w:cs="Times New Roman"/>
          <w:szCs w:val="22"/>
        </w:rPr>
        <w:t xml:space="preserve"> </w:t>
      </w:r>
      <w:r w:rsidR="00180159" w:rsidRPr="000F794A">
        <w:rPr>
          <w:rFonts w:cs="Times New Roman"/>
          <w:szCs w:val="22"/>
        </w:rPr>
        <w:t>realizados para el</w:t>
      </w:r>
      <w:r w:rsidR="00F653E1" w:rsidRPr="000F794A">
        <w:rPr>
          <w:rFonts w:cs="Times New Roman"/>
          <w:szCs w:val="22"/>
        </w:rPr>
        <w:t xml:space="preserve"> </w:t>
      </w:r>
      <w:r w:rsidR="00486AC6" w:rsidRPr="000F794A">
        <w:rPr>
          <w:rFonts w:cs="Times New Roman"/>
          <w:szCs w:val="22"/>
        </w:rPr>
        <w:t xml:space="preserve">mantenimiento y reparación de bienes nacionales de uso común </w:t>
      </w:r>
      <w:r w:rsidR="005C22CE" w:rsidRPr="000F794A">
        <w:rPr>
          <w:rFonts w:cs="Times New Roman"/>
          <w:szCs w:val="22"/>
        </w:rPr>
        <w:t xml:space="preserve">que se </w:t>
      </w:r>
      <w:r w:rsidR="00486AC6" w:rsidRPr="000F794A">
        <w:rPr>
          <w:rFonts w:cs="Times New Roman"/>
          <w:szCs w:val="22"/>
        </w:rPr>
        <w:t>incrementó</w:t>
      </w:r>
      <w:r w:rsidR="005C22CE" w:rsidRPr="000F794A">
        <w:rPr>
          <w:rFonts w:cs="Times New Roman"/>
          <w:szCs w:val="22"/>
        </w:rPr>
        <w:t xml:space="preserve"> en </w:t>
      </w:r>
      <w:r w:rsidR="00637724" w:rsidRPr="000F794A">
        <w:rPr>
          <w:rFonts w:cs="Times New Roman"/>
          <w:szCs w:val="22"/>
        </w:rPr>
        <w:t>232.5% (</w:t>
      </w:r>
      <w:r w:rsidR="008E26EB" w:rsidRPr="000F794A">
        <w:rPr>
          <w:rFonts w:cs="Times New Roman"/>
          <w:szCs w:val="22"/>
        </w:rPr>
        <w:t>Q</w:t>
      </w:r>
      <w:r w:rsidR="00637724" w:rsidRPr="000F794A">
        <w:rPr>
          <w:rFonts w:cs="Times New Roman"/>
          <w:szCs w:val="22"/>
        </w:rPr>
        <w:t>237.2 millones).</w:t>
      </w:r>
    </w:p>
    <w:p w14:paraId="15319AB3" w14:textId="77777777" w:rsidR="006F3389" w:rsidRPr="004A14FB" w:rsidRDefault="006F3389" w:rsidP="006F3389">
      <w:pPr>
        <w:rPr>
          <w:rFonts w:cs="Times New Roman"/>
          <w:szCs w:val="22"/>
        </w:rPr>
      </w:pPr>
    </w:p>
    <w:p w14:paraId="04A7529A" w14:textId="3CB264E6" w:rsidR="00730CC7" w:rsidRDefault="0022594D" w:rsidP="002A1982">
      <w:pPr>
        <w:rPr>
          <w:rFonts w:cs="Times New Roman"/>
          <w:szCs w:val="22"/>
        </w:rPr>
      </w:pPr>
      <w:r w:rsidRPr="004A14FB">
        <w:rPr>
          <w:rFonts w:cs="Times New Roman"/>
          <w:szCs w:val="22"/>
        </w:rPr>
        <w:t>E</w:t>
      </w:r>
      <w:r w:rsidR="006F3389" w:rsidRPr="004A14FB">
        <w:rPr>
          <w:rFonts w:cs="Times New Roman"/>
          <w:szCs w:val="22"/>
        </w:rPr>
        <w:t xml:space="preserve">l segundo crecimiento más alto se dio en las erogaciones destinadas a </w:t>
      </w:r>
      <w:r w:rsidR="00882304">
        <w:rPr>
          <w:rFonts w:cs="Times New Roman"/>
          <w:szCs w:val="22"/>
        </w:rPr>
        <w:t>asuntos económicos</w:t>
      </w:r>
      <w:r w:rsidR="006F3389" w:rsidRPr="004A14FB">
        <w:rPr>
          <w:rFonts w:cs="Times New Roman"/>
          <w:szCs w:val="22"/>
        </w:rPr>
        <w:t xml:space="preserve">, </w:t>
      </w:r>
      <w:r w:rsidR="00882304">
        <w:rPr>
          <w:rFonts w:cs="Times New Roman"/>
          <w:szCs w:val="22"/>
        </w:rPr>
        <w:t>estos</w:t>
      </w:r>
      <w:r w:rsidR="006F3389" w:rsidRPr="004A14FB">
        <w:rPr>
          <w:rFonts w:cs="Times New Roman"/>
          <w:szCs w:val="22"/>
        </w:rPr>
        <w:t xml:space="preserve"> ascendieron a Q</w:t>
      </w:r>
      <w:r w:rsidR="00730CC7" w:rsidRPr="00B02E73">
        <w:rPr>
          <w:rFonts w:cs="Times New Roman"/>
          <w:szCs w:val="22"/>
        </w:rPr>
        <w:t xml:space="preserve">2,575.0 </w:t>
      </w:r>
      <w:r w:rsidR="00730CC7" w:rsidRPr="004A14FB">
        <w:rPr>
          <w:rFonts w:cs="Times New Roman"/>
          <w:szCs w:val="22"/>
        </w:rPr>
        <w:t>millones</w:t>
      </w:r>
      <w:r w:rsidR="00B02E73">
        <w:rPr>
          <w:rFonts w:cs="Times New Roman"/>
          <w:szCs w:val="22"/>
        </w:rPr>
        <w:t xml:space="preserve"> con un aumento </w:t>
      </w:r>
      <w:r w:rsidR="008B0A9A">
        <w:rPr>
          <w:rFonts w:cs="Times New Roman"/>
          <w:szCs w:val="22"/>
        </w:rPr>
        <w:t>del 74.7% (Q</w:t>
      </w:r>
      <w:r w:rsidR="001E4B95">
        <w:rPr>
          <w:rFonts w:cs="Times New Roman"/>
          <w:szCs w:val="22"/>
        </w:rPr>
        <w:t>1</w:t>
      </w:r>
      <w:r w:rsidR="008B0A9A" w:rsidRPr="008B0A9A">
        <w:rPr>
          <w:rFonts w:cs="Times New Roman"/>
          <w:szCs w:val="22"/>
        </w:rPr>
        <w:t>,</w:t>
      </w:r>
      <w:r w:rsidR="001E4B95">
        <w:rPr>
          <w:rFonts w:cs="Times New Roman"/>
          <w:szCs w:val="22"/>
        </w:rPr>
        <w:t>101</w:t>
      </w:r>
      <w:r w:rsidR="008B0A9A" w:rsidRPr="008B0A9A">
        <w:rPr>
          <w:rFonts w:cs="Times New Roman"/>
          <w:szCs w:val="22"/>
        </w:rPr>
        <w:t>.</w:t>
      </w:r>
      <w:r w:rsidR="001E4B95">
        <w:rPr>
          <w:rFonts w:cs="Times New Roman"/>
          <w:szCs w:val="22"/>
        </w:rPr>
        <w:t>3</w:t>
      </w:r>
      <w:r w:rsidR="008B0A9A">
        <w:rPr>
          <w:rFonts w:cs="Times New Roman"/>
          <w:szCs w:val="22"/>
        </w:rPr>
        <w:t xml:space="preserve"> millones)</w:t>
      </w:r>
      <w:r w:rsidR="006F3389" w:rsidRPr="004A14FB">
        <w:rPr>
          <w:rFonts w:cs="Times New Roman"/>
          <w:szCs w:val="22"/>
        </w:rPr>
        <w:t xml:space="preserve"> </w:t>
      </w:r>
      <w:r w:rsidR="007F3270">
        <w:rPr>
          <w:rFonts w:cs="Times New Roman"/>
          <w:szCs w:val="22"/>
        </w:rPr>
        <w:t>y dentro de estos</w:t>
      </w:r>
      <w:r w:rsidR="00486AC6">
        <w:rPr>
          <w:rFonts w:cs="Times New Roman"/>
          <w:szCs w:val="22"/>
        </w:rPr>
        <w:t>,</w:t>
      </w:r>
      <w:r w:rsidR="007F3270">
        <w:rPr>
          <w:rFonts w:cs="Times New Roman"/>
          <w:szCs w:val="22"/>
        </w:rPr>
        <w:t xml:space="preserve"> la función </w:t>
      </w:r>
      <w:r w:rsidR="00666160">
        <w:rPr>
          <w:rFonts w:cs="Times New Roman"/>
          <w:szCs w:val="22"/>
        </w:rPr>
        <w:t>más</w:t>
      </w:r>
      <w:r w:rsidR="007F3270">
        <w:rPr>
          <w:rFonts w:cs="Times New Roman"/>
          <w:szCs w:val="22"/>
        </w:rPr>
        <w:t xml:space="preserve"> destacada es la asociada a</w:t>
      </w:r>
      <w:r w:rsidR="00486AC6">
        <w:rPr>
          <w:rFonts w:cs="Times New Roman"/>
          <w:szCs w:val="22"/>
        </w:rPr>
        <w:t xml:space="preserve"> atender a</w:t>
      </w:r>
      <w:r w:rsidR="007F3270">
        <w:rPr>
          <w:rFonts w:cs="Times New Roman"/>
          <w:szCs w:val="22"/>
        </w:rPr>
        <w:t>l transporte que asciende a</w:t>
      </w:r>
      <w:r w:rsidR="00486AC6">
        <w:rPr>
          <w:rFonts w:cs="Times New Roman"/>
          <w:szCs w:val="22"/>
        </w:rPr>
        <w:t xml:space="preserve"> un monto acumulado de</w:t>
      </w:r>
      <w:r w:rsidR="007F3270">
        <w:rPr>
          <w:rFonts w:cs="Times New Roman"/>
          <w:szCs w:val="22"/>
        </w:rPr>
        <w:t xml:space="preserve"> Q</w:t>
      </w:r>
      <w:r w:rsidR="007F3270" w:rsidRPr="007F3270">
        <w:rPr>
          <w:rFonts w:cs="Times New Roman"/>
          <w:szCs w:val="22"/>
        </w:rPr>
        <w:t>1,919.2</w:t>
      </w:r>
      <w:r w:rsidR="007F3270">
        <w:rPr>
          <w:rFonts w:cs="Times New Roman"/>
          <w:szCs w:val="22"/>
        </w:rPr>
        <w:t xml:space="preserve"> millones con un aumento del 110.4% (Q</w:t>
      </w:r>
      <w:r w:rsidR="007F3270" w:rsidRPr="007F3270">
        <w:rPr>
          <w:rFonts w:cs="Times New Roman"/>
          <w:szCs w:val="22"/>
        </w:rPr>
        <w:t>1,007.2</w:t>
      </w:r>
      <w:r w:rsidR="007F3270">
        <w:rPr>
          <w:rFonts w:cs="Times New Roman"/>
          <w:szCs w:val="22"/>
        </w:rPr>
        <w:t xml:space="preserve"> millones) </w:t>
      </w:r>
      <w:r w:rsidR="00486AC6" w:rsidRPr="000F794A">
        <w:rPr>
          <w:rFonts w:cs="Times New Roman"/>
          <w:szCs w:val="22"/>
        </w:rPr>
        <w:t xml:space="preserve">y </w:t>
      </w:r>
      <w:r w:rsidR="006F2755" w:rsidRPr="000F794A">
        <w:rPr>
          <w:rFonts w:cs="Times New Roman"/>
          <w:szCs w:val="22"/>
        </w:rPr>
        <w:t>siendo los principales gastos</w:t>
      </w:r>
      <w:r w:rsidR="008C61A1" w:rsidRPr="000F794A">
        <w:rPr>
          <w:rFonts w:cs="Times New Roman"/>
          <w:szCs w:val="22"/>
        </w:rPr>
        <w:t xml:space="preserve"> </w:t>
      </w:r>
      <w:r w:rsidR="00CD0ED2" w:rsidRPr="000F794A">
        <w:rPr>
          <w:rFonts w:cs="Times New Roman"/>
          <w:szCs w:val="22"/>
        </w:rPr>
        <w:t xml:space="preserve">en </w:t>
      </w:r>
      <w:r w:rsidR="00D875CA" w:rsidRPr="000F794A">
        <w:rPr>
          <w:rFonts w:cs="Times New Roman"/>
          <w:szCs w:val="22"/>
        </w:rPr>
        <w:t>la</w:t>
      </w:r>
      <w:r w:rsidR="00486AC6" w:rsidRPr="000F794A">
        <w:rPr>
          <w:rFonts w:cs="Times New Roman"/>
          <w:szCs w:val="22"/>
        </w:rPr>
        <w:t>s</w:t>
      </w:r>
      <w:r w:rsidR="006F2755" w:rsidRPr="000F794A">
        <w:rPr>
          <w:rFonts w:cs="Times New Roman"/>
          <w:szCs w:val="22"/>
        </w:rPr>
        <w:t xml:space="preserve"> </w:t>
      </w:r>
      <w:r w:rsidR="00486AC6" w:rsidRPr="000F794A">
        <w:rPr>
          <w:rFonts w:cs="Times New Roman"/>
          <w:szCs w:val="22"/>
        </w:rPr>
        <w:t>construcciones de bienes nacionales de uso común y el mantenimiento y reparación de bienes nacionales de uso común</w:t>
      </w:r>
      <w:r w:rsidR="00CD0ED2" w:rsidRPr="000F794A">
        <w:rPr>
          <w:rFonts w:cs="Times New Roman"/>
          <w:szCs w:val="22"/>
        </w:rPr>
        <w:t xml:space="preserve"> </w:t>
      </w:r>
      <w:r w:rsidR="0098360C" w:rsidRPr="000F794A">
        <w:rPr>
          <w:rFonts w:cs="Times New Roman"/>
          <w:szCs w:val="22"/>
        </w:rPr>
        <w:t>que en conjunto aumentaron Q670.8 millones</w:t>
      </w:r>
      <w:r w:rsidR="00486AC6" w:rsidRPr="000F794A">
        <w:rPr>
          <w:rFonts w:cs="Times New Roman"/>
          <w:szCs w:val="22"/>
        </w:rPr>
        <w:t>.</w:t>
      </w:r>
    </w:p>
    <w:p w14:paraId="2219FEB9" w14:textId="77777777" w:rsidR="00730CC7" w:rsidRDefault="00730CC7" w:rsidP="002A1982">
      <w:pPr>
        <w:rPr>
          <w:rFonts w:cs="Times New Roman"/>
          <w:szCs w:val="22"/>
        </w:rPr>
      </w:pPr>
    </w:p>
    <w:p w14:paraId="7C6FDCA2" w14:textId="1298AAEA" w:rsidR="002A1982" w:rsidRDefault="0041020F" w:rsidP="002A1982">
      <w:pPr>
        <w:rPr>
          <w:rFonts w:cs="Times New Roman"/>
          <w:szCs w:val="22"/>
        </w:rPr>
      </w:pPr>
      <w:r>
        <w:rPr>
          <w:rFonts w:cs="Times New Roman"/>
          <w:szCs w:val="22"/>
        </w:rPr>
        <w:t>La erogación en funciones de Educación aumentó interanualmente</w:t>
      </w:r>
      <w:r w:rsidR="00EF5FC1">
        <w:rPr>
          <w:rFonts w:cs="Times New Roman"/>
          <w:szCs w:val="22"/>
        </w:rPr>
        <w:t xml:space="preserve"> </w:t>
      </w:r>
      <w:r w:rsidR="00153192">
        <w:rPr>
          <w:rFonts w:cs="Times New Roman"/>
          <w:szCs w:val="22"/>
        </w:rPr>
        <w:t>en</w:t>
      </w:r>
      <w:r w:rsidR="00EF5FC1">
        <w:rPr>
          <w:rFonts w:cs="Times New Roman"/>
          <w:szCs w:val="22"/>
        </w:rPr>
        <w:t xml:space="preserve"> 14.8% (Q765.5 millones</w:t>
      </w:r>
      <w:r w:rsidR="009F6677">
        <w:rPr>
          <w:rFonts w:cs="Times New Roman"/>
          <w:szCs w:val="22"/>
        </w:rPr>
        <w:t xml:space="preserve">) seguido de las erogaciones </w:t>
      </w:r>
      <w:r w:rsidR="00E17984">
        <w:rPr>
          <w:rFonts w:cs="Times New Roman"/>
          <w:szCs w:val="22"/>
        </w:rPr>
        <w:t xml:space="preserve">a la Protección Social con un incremento del </w:t>
      </w:r>
      <w:r w:rsidR="008714DD">
        <w:rPr>
          <w:rFonts w:cs="Times New Roman"/>
          <w:szCs w:val="22"/>
        </w:rPr>
        <w:t>22.8% (Q</w:t>
      </w:r>
      <w:r w:rsidR="001D3F63" w:rsidRPr="001D3F63">
        <w:rPr>
          <w:rFonts w:cs="Times New Roman"/>
          <w:szCs w:val="22"/>
        </w:rPr>
        <w:t>556.1</w:t>
      </w:r>
      <w:r w:rsidR="001D3F63">
        <w:rPr>
          <w:rFonts w:cs="Times New Roman"/>
          <w:szCs w:val="22"/>
        </w:rPr>
        <w:t xml:space="preserve"> millones)</w:t>
      </w:r>
      <w:r w:rsidR="00912D32">
        <w:rPr>
          <w:rFonts w:cs="Times New Roman"/>
          <w:szCs w:val="22"/>
        </w:rPr>
        <w:t xml:space="preserve">. Las erogaciones en Vivienda y servicios comunitarios </w:t>
      </w:r>
      <w:r w:rsidR="00067E7F">
        <w:rPr>
          <w:rFonts w:cs="Times New Roman"/>
          <w:szCs w:val="22"/>
        </w:rPr>
        <w:t>aumentaron en</w:t>
      </w:r>
      <w:r w:rsidR="00912D32">
        <w:rPr>
          <w:rFonts w:cs="Times New Roman"/>
          <w:szCs w:val="22"/>
        </w:rPr>
        <w:t xml:space="preserve"> 14.7% (</w:t>
      </w:r>
      <w:r w:rsidR="001C3EA4">
        <w:rPr>
          <w:rFonts w:cs="Times New Roman"/>
          <w:szCs w:val="22"/>
        </w:rPr>
        <w:t xml:space="preserve">Q336.7 millones) </w:t>
      </w:r>
      <w:r w:rsidR="00C20C10">
        <w:rPr>
          <w:rFonts w:cs="Times New Roman"/>
          <w:szCs w:val="22"/>
        </w:rPr>
        <w:t xml:space="preserve">mientras que las erogaciones enfocadas a </w:t>
      </w:r>
      <w:r w:rsidR="00A551CB">
        <w:rPr>
          <w:rFonts w:cs="Times New Roman"/>
          <w:szCs w:val="22"/>
        </w:rPr>
        <w:t xml:space="preserve">Orden Público y Seguridad </w:t>
      </w:r>
      <w:r w:rsidR="00067E7F">
        <w:rPr>
          <w:rFonts w:cs="Times New Roman"/>
          <w:szCs w:val="22"/>
        </w:rPr>
        <w:t>en</w:t>
      </w:r>
      <w:r w:rsidR="00374852">
        <w:rPr>
          <w:rFonts w:cs="Times New Roman"/>
          <w:szCs w:val="22"/>
        </w:rPr>
        <w:t xml:space="preserve"> 8.6% (</w:t>
      </w:r>
      <w:r w:rsidR="00951B50">
        <w:rPr>
          <w:rFonts w:cs="Times New Roman"/>
          <w:szCs w:val="22"/>
        </w:rPr>
        <w:t>Q234.4 millones</w:t>
      </w:r>
      <w:r w:rsidR="00374852">
        <w:rPr>
          <w:rFonts w:cs="Times New Roman"/>
          <w:szCs w:val="22"/>
        </w:rPr>
        <w:t xml:space="preserve">), </w:t>
      </w:r>
      <w:r w:rsidR="00F66C26">
        <w:rPr>
          <w:rFonts w:cs="Times New Roman"/>
          <w:szCs w:val="22"/>
        </w:rPr>
        <w:t xml:space="preserve">las actividades recreativas, cultura y religión </w:t>
      </w:r>
      <w:r w:rsidR="00067E7F">
        <w:rPr>
          <w:rFonts w:cs="Times New Roman"/>
          <w:szCs w:val="22"/>
        </w:rPr>
        <w:t>en</w:t>
      </w:r>
      <w:r w:rsidR="00F66C26">
        <w:rPr>
          <w:rFonts w:cs="Times New Roman"/>
          <w:szCs w:val="22"/>
        </w:rPr>
        <w:t xml:space="preserve"> 30.5% (</w:t>
      </w:r>
      <w:r w:rsidR="00CE35F2">
        <w:rPr>
          <w:rFonts w:cs="Times New Roman"/>
          <w:szCs w:val="22"/>
        </w:rPr>
        <w:t xml:space="preserve">Q71.3 millones) y la protección del medio ambiente fue de </w:t>
      </w:r>
      <w:r w:rsidR="00951B50">
        <w:rPr>
          <w:rFonts w:cs="Times New Roman"/>
          <w:szCs w:val="22"/>
        </w:rPr>
        <w:t>30.7% (Q44.9 millones).</w:t>
      </w:r>
      <w:r>
        <w:rPr>
          <w:rFonts w:cs="Times New Roman"/>
          <w:szCs w:val="22"/>
        </w:rPr>
        <w:t xml:space="preserve"> </w:t>
      </w:r>
    </w:p>
    <w:p w14:paraId="3A8AA16E" w14:textId="77777777" w:rsidR="00821DE8" w:rsidRDefault="00821DE8" w:rsidP="002A1982">
      <w:pPr>
        <w:rPr>
          <w:rFonts w:cs="Times New Roman"/>
        </w:rPr>
      </w:pPr>
    </w:p>
    <w:p w14:paraId="13399A30" w14:textId="7791A75B" w:rsidR="00F80C82" w:rsidRDefault="005431FF" w:rsidP="006F3389">
      <w:pPr>
        <w:rPr>
          <w:rFonts w:cs="Times New Roman"/>
        </w:rPr>
      </w:pPr>
      <w:r w:rsidRPr="00FC4688">
        <w:rPr>
          <w:rFonts w:cs="Times New Roman"/>
          <w:noProof/>
          <w:lang w:eastAsia="es-GT"/>
        </w:rPr>
        <w:drawing>
          <wp:inline distT="0" distB="0" distL="0" distR="0" wp14:anchorId="29CE4EB6" wp14:editId="3ACA2938">
            <wp:extent cx="5934710" cy="2934269"/>
            <wp:effectExtent l="0" t="0" r="889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7DF42B1" w14:textId="77777777" w:rsidR="000F794A" w:rsidRDefault="000F794A" w:rsidP="006F3389">
      <w:pPr>
        <w:rPr>
          <w:rFonts w:cs="Times New Roman"/>
        </w:rPr>
      </w:pPr>
    </w:p>
    <w:p w14:paraId="3836119E" w14:textId="1C5B1950" w:rsidR="00821DE8" w:rsidRDefault="00821DE8" w:rsidP="006F3389">
      <w:pPr>
        <w:rPr>
          <w:rFonts w:cs="Times New Roman"/>
        </w:rPr>
      </w:pPr>
      <w:r w:rsidRPr="003A7E35">
        <w:rPr>
          <w:rFonts w:cs="Times New Roman"/>
        </w:rPr>
        <w:t>Por su parte, las erogaciones</w:t>
      </w:r>
      <w:r>
        <w:rPr>
          <w:rFonts w:cs="Times New Roman"/>
        </w:rPr>
        <w:t xml:space="preserve"> que han tenido una disminución interanual son</w:t>
      </w:r>
      <w:r w:rsidR="00314806">
        <w:rPr>
          <w:rFonts w:cs="Times New Roman"/>
        </w:rPr>
        <w:t>;</w:t>
      </w:r>
      <w:r>
        <w:rPr>
          <w:rFonts w:cs="Times New Roman"/>
        </w:rPr>
        <w:t xml:space="preserve"> las destinadas a defensa que ascienden a Q434.5 millones con una disminución del 27.5% (Q164.9 millones) y las de Salud que se sitúan en Q</w:t>
      </w:r>
      <w:r w:rsidRPr="009825A8">
        <w:rPr>
          <w:rFonts w:cs="Times New Roman"/>
        </w:rPr>
        <w:t>2,178.1</w:t>
      </w:r>
      <w:r>
        <w:rPr>
          <w:rFonts w:cs="Times New Roman"/>
        </w:rPr>
        <w:t xml:space="preserve"> millones con una variación negativa del 10.4% (Q252.9 millones)</w:t>
      </w:r>
      <w:r w:rsidR="000F794A">
        <w:rPr>
          <w:rFonts w:cs="Times New Roman"/>
        </w:rPr>
        <w:t>, asociado esto último a la reducción en las intervenciones asociadas al Programa COVID-19.</w:t>
      </w:r>
    </w:p>
    <w:p w14:paraId="56890EF2" w14:textId="3935FE84" w:rsidR="00821DE8" w:rsidRPr="00FC4688" w:rsidRDefault="00821DE8" w:rsidP="006F3389">
      <w:pPr>
        <w:rPr>
          <w:rFonts w:cs="Times New Roman"/>
        </w:rPr>
      </w:pPr>
    </w:p>
    <w:p w14:paraId="75A44C38" w14:textId="205A45D9" w:rsidR="00513B56" w:rsidRPr="00FC4688" w:rsidRDefault="00CB5A9E" w:rsidP="00C56688">
      <w:pPr>
        <w:pStyle w:val="Ttulo2"/>
        <w:numPr>
          <w:ilvl w:val="1"/>
          <w:numId w:val="12"/>
        </w:numPr>
        <w:tabs>
          <w:tab w:val="left" w:pos="426"/>
        </w:tabs>
        <w:spacing w:before="0"/>
        <w:rPr>
          <w:rFonts w:ascii="Times New Roman" w:hAnsi="Times New Roman" w:cs="Times New Roman"/>
          <w:color w:val="auto"/>
          <w:sz w:val="24"/>
        </w:rPr>
      </w:pPr>
      <w:bookmarkStart w:id="1389" w:name="_Toc133576501"/>
      <w:r>
        <w:rPr>
          <w:rFonts w:ascii="Times New Roman" w:hAnsi="Times New Roman" w:cs="Times New Roman"/>
          <w:color w:val="auto"/>
          <w:sz w:val="24"/>
        </w:rPr>
        <w:t>Ejecución institucional</w:t>
      </w:r>
      <w:bookmarkEnd w:id="1389"/>
    </w:p>
    <w:p w14:paraId="5A2AF5D0" w14:textId="6771DE80" w:rsidR="00651330" w:rsidRDefault="00E27C1F" w:rsidP="00651330">
      <w:pPr>
        <w:pStyle w:val="Sinespaciado"/>
        <w:jc w:val="both"/>
        <w:rPr>
          <w:rFonts w:ascii="Times New Roman" w:hAnsi="Times New Roman" w:cs="Times New Roman"/>
        </w:rPr>
      </w:pPr>
      <w:r w:rsidRPr="00FC4688">
        <w:rPr>
          <w:rFonts w:cs="Times New Roman"/>
          <w:noProof/>
          <w:sz w:val="18"/>
          <w:szCs w:val="18"/>
          <w:lang w:eastAsia="es-GT"/>
        </w:rPr>
        <w:drawing>
          <wp:anchor distT="0" distB="0" distL="114300" distR="114300" simplePos="0" relativeHeight="251679748" behindDoc="0" locked="0" layoutInCell="1" allowOverlap="1" wp14:anchorId="2DE414AE" wp14:editId="71A3CF43">
            <wp:simplePos x="0" y="0"/>
            <wp:positionH relativeFrom="margin">
              <wp:align>right</wp:align>
            </wp:positionH>
            <wp:positionV relativeFrom="page">
              <wp:posOffset>2122170</wp:posOffset>
            </wp:positionV>
            <wp:extent cx="2245995" cy="4162425"/>
            <wp:effectExtent l="0" t="0" r="1905" b="9525"/>
            <wp:wrapSquare wrapText="bothSides"/>
            <wp:docPr id="3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r w:rsidR="00651330">
        <w:rPr>
          <w:rFonts w:ascii="Times New Roman" w:hAnsi="Times New Roman" w:cs="Times New Roman"/>
        </w:rPr>
        <w:t>A nivel del gasto público por entidades, las que muestran el mayor nivel de ejecución son: Comunicaciones (32.9%),</w:t>
      </w:r>
      <w:r w:rsidR="00651330" w:rsidRPr="00604563">
        <w:t xml:space="preserve"> </w:t>
      </w:r>
      <w:r w:rsidR="00651330" w:rsidRPr="00604563">
        <w:rPr>
          <w:rFonts w:ascii="Times New Roman" w:hAnsi="Times New Roman" w:cs="Times New Roman"/>
        </w:rPr>
        <w:t>Energía y Minas (</w:t>
      </w:r>
      <w:r w:rsidR="00651330">
        <w:rPr>
          <w:rFonts w:ascii="Times New Roman" w:hAnsi="Times New Roman" w:cs="Times New Roman"/>
        </w:rPr>
        <w:t>29</w:t>
      </w:r>
      <w:r w:rsidR="00651330" w:rsidRPr="00604563">
        <w:rPr>
          <w:rFonts w:ascii="Times New Roman" w:hAnsi="Times New Roman" w:cs="Times New Roman"/>
        </w:rPr>
        <w:t>.</w:t>
      </w:r>
      <w:r w:rsidR="00651330">
        <w:rPr>
          <w:rFonts w:ascii="Times New Roman" w:hAnsi="Times New Roman" w:cs="Times New Roman"/>
        </w:rPr>
        <w:t>0</w:t>
      </w:r>
      <w:r w:rsidR="00651330" w:rsidRPr="00604563">
        <w:rPr>
          <w:rFonts w:ascii="Times New Roman" w:hAnsi="Times New Roman" w:cs="Times New Roman"/>
        </w:rPr>
        <w:t>%),</w:t>
      </w:r>
      <w:r w:rsidR="00651330">
        <w:rPr>
          <w:rFonts w:ascii="Times New Roman" w:hAnsi="Times New Roman" w:cs="Times New Roman"/>
        </w:rPr>
        <w:t xml:space="preserve"> Trabajo (23.5%), PGN (23.2%), Educación (23.0%), Presidencia (22.9%) y Cultura y Deportes (21.7%), </w:t>
      </w:r>
      <w:r w:rsidR="00651330" w:rsidRPr="002C3760">
        <w:rPr>
          <w:rFonts w:ascii="Times New Roman" w:hAnsi="Times New Roman" w:cs="Times New Roman"/>
        </w:rPr>
        <w:t>todas estas entidades se encuentran por arriba de la ejecución institucional total (</w:t>
      </w:r>
      <w:r w:rsidR="00651330">
        <w:rPr>
          <w:rFonts w:ascii="Times New Roman" w:hAnsi="Times New Roman" w:cs="Times New Roman"/>
        </w:rPr>
        <w:t>21</w:t>
      </w:r>
      <w:r w:rsidR="00651330" w:rsidRPr="002C3760">
        <w:rPr>
          <w:rFonts w:ascii="Times New Roman" w:hAnsi="Times New Roman" w:cs="Times New Roman"/>
        </w:rPr>
        <w:t>.</w:t>
      </w:r>
      <w:r w:rsidR="00651330">
        <w:rPr>
          <w:rFonts w:ascii="Times New Roman" w:hAnsi="Times New Roman" w:cs="Times New Roman"/>
        </w:rPr>
        <w:t>5</w:t>
      </w:r>
      <w:r w:rsidR="00651330" w:rsidRPr="002C3760">
        <w:rPr>
          <w:rFonts w:ascii="Times New Roman" w:hAnsi="Times New Roman" w:cs="Times New Roman"/>
        </w:rPr>
        <w:t>%).</w:t>
      </w:r>
      <w:r w:rsidR="00651330" w:rsidRPr="00651330">
        <w:rPr>
          <w:rFonts w:cs="Times New Roman"/>
          <w:noProof/>
          <w:sz w:val="18"/>
          <w:szCs w:val="18"/>
          <w:lang w:eastAsia="es-GT"/>
        </w:rPr>
        <w:t xml:space="preserve"> </w:t>
      </w:r>
    </w:p>
    <w:p w14:paraId="3D252041" w14:textId="5F7B6F1E" w:rsidR="00651330" w:rsidRDefault="00651330" w:rsidP="00651330">
      <w:pPr>
        <w:pStyle w:val="Sinespaciado"/>
        <w:jc w:val="both"/>
        <w:rPr>
          <w:rFonts w:ascii="Times New Roman" w:hAnsi="Times New Roman" w:cs="Times New Roman"/>
        </w:rPr>
      </w:pPr>
    </w:p>
    <w:p w14:paraId="54532279" w14:textId="4488FA9F" w:rsidR="00651330" w:rsidRDefault="00651330" w:rsidP="00651330">
      <w:pPr>
        <w:pStyle w:val="Sinespaciado"/>
        <w:jc w:val="both"/>
        <w:rPr>
          <w:rFonts w:ascii="Times New Roman" w:hAnsi="Times New Roman" w:cs="Times New Roman"/>
        </w:rPr>
      </w:pPr>
      <w:r>
        <w:rPr>
          <w:rFonts w:ascii="Times New Roman" w:hAnsi="Times New Roman" w:cs="Times New Roman"/>
        </w:rPr>
        <w:t>El resto de las entidades se encuentra por debajo de la ejecución institucional total. Resalta el Ministerio de Ambiente y Recursos Naturales y el</w:t>
      </w:r>
      <w:r w:rsidRPr="004D5EFA">
        <w:t xml:space="preserve"> </w:t>
      </w:r>
      <w:r w:rsidRPr="004D5EFA">
        <w:rPr>
          <w:rFonts w:ascii="Times New Roman" w:hAnsi="Times New Roman" w:cs="Times New Roman"/>
        </w:rPr>
        <w:t>Ministerio de Desarrollo Social</w:t>
      </w:r>
      <w:r>
        <w:rPr>
          <w:rFonts w:ascii="Times New Roman" w:hAnsi="Times New Roman" w:cs="Times New Roman"/>
        </w:rPr>
        <w:t xml:space="preserve">, con ejecuciones de 11.3% y 10.2% respectivamente, estando muy por debajo de la ejecución promedio.  </w:t>
      </w:r>
    </w:p>
    <w:p w14:paraId="145E5307" w14:textId="77777777" w:rsidR="00651330" w:rsidRDefault="00651330" w:rsidP="00651330">
      <w:pPr>
        <w:pStyle w:val="Sinespaciado"/>
        <w:jc w:val="both"/>
        <w:rPr>
          <w:rFonts w:ascii="Times New Roman" w:hAnsi="Times New Roman" w:cs="Times New Roman"/>
        </w:rPr>
      </w:pPr>
    </w:p>
    <w:p w14:paraId="01A3E992" w14:textId="4C880F19" w:rsidR="00651330" w:rsidRDefault="00651330" w:rsidP="00651330">
      <w:pPr>
        <w:pStyle w:val="Sinespaciado"/>
        <w:jc w:val="both"/>
        <w:rPr>
          <w:rFonts w:ascii="Times New Roman" w:hAnsi="Times New Roman" w:cs="Times New Roman"/>
        </w:rPr>
      </w:pPr>
      <w:r>
        <w:rPr>
          <w:rFonts w:ascii="Times New Roman" w:hAnsi="Times New Roman" w:cs="Times New Roman"/>
        </w:rPr>
        <w:t>La baja ejecución en el Ministerio de Desarrollo Social se debe en parte a la ampliación del presupuesto que tuvo la entidad por Q300 millones para cubrir los pagos establecidos en la Ley Temporal de Desarrollo Integral Decreto número 51-2022, cuyo objetivo es la implementación y ejecución de proyectos ambientales y de desarrollo integral con la participación de la tropa que prestó servicio militar durante el conflicto armado interno. Hasta la fecha, dicho programa cuenta con una ejecución aun baja, la cual se dinamizaría en los próximos meses.</w:t>
      </w:r>
    </w:p>
    <w:p w14:paraId="08443818" w14:textId="77777777" w:rsidR="00651330" w:rsidRDefault="00651330" w:rsidP="00651330">
      <w:pPr>
        <w:pStyle w:val="Sinespaciado"/>
        <w:jc w:val="both"/>
        <w:rPr>
          <w:rFonts w:ascii="Times New Roman" w:hAnsi="Times New Roman" w:cs="Times New Roman"/>
        </w:rPr>
      </w:pPr>
    </w:p>
    <w:p w14:paraId="3C28B115" w14:textId="77777777" w:rsidR="00651330" w:rsidRDefault="00651330" w:rsidP="00651330">
      <w:pPr>
        <w:pStyle w:val="Sinespaciado"/>
        <w:jc w:val="both"/>
        <w:rPr>
          <w:rFonts w:ascii="Times New Roman" w:hAnsi="Times New Roman" w:cs="Times New Roman"/>
        </w:rPr>
      </w:pPr>
      <w:r>
        <w:rPr>
          <w:rFonts w:ascii="Times New Roman" w:hAnsi="Times New Roman" w:cs="Times New Roman"/>
        </w:rPr>
        <w:t>Hasta marzo se han dado ampliaciones en el presupuesto de ingresos y egresos del Estado para el ejercicio fiscal 2023 por Q2,047.1 millones, las cuales se explican principalmente por:</w:t>
      </w:r>
    </w:p>
    <w:p w14:paraId="3F8D5F59" w14:textId="77777777" w:rsidR="00651330" w:rsidRDefault="00651330" w:rsidP="00651330">
      <w:pPr>
        <w:pStyle w:val="Sinespaciado"/>
        <w:jc w:val="both"/>
        <w:rPr>
          <w:rFonts w:ascii="Times New Roman" w:hAnsi="Times New Roman" w:cs="Times New Roman"/>
        </w:rPr>
      </w:pPr>
    </w:p>
    <w:p w14:paraId="001E5919" w14:textId="77777777" w:rsidR="00651330" w:rsidRDefault="00651330" w:rsidP="00651330">
      <w:pPr>
        <w:pStyle w:val="Sinespaciado"/>
        <w:numPr>
          <w:ilvl w:val="0"/>
          <w:numId w:val="46"/>
        </w:numPr>
        <w:ind w:left="426"/>
        <w:jc w:val="both"/>
        <w:rPr>
          <w:rFonts w:ascii="Times New Roman" w:hAnsi="Times New Roman" w:cs="Times New Roman"/>
        </w:rPr>
      </w:pPr>
      <w:r>
        <w:rPr>
          <w:rFonts w:ascii="Times New Roman" w:hAnsi="Times New Roman" w:cs="Times New Roman"/>
        </w:rPr>
        <w:t>El Ministerio de Comunicaciones, Infraestructura y Vivienda por la reprogramación de obras y asignación de recursos para los proyectos del Decreto número 21-2022 “Ley para fortalecer el mantenimiento y construcción de infraestructura estratégica” que quedaron pendientes por la temporada lluviosa de 2022.</w:t>
      </w:r>
    </w:p>
    <w:p w14:paraId="74B6AFD7" w14:textId="77777777" w:rsidR="00651330" w:rsidRDefault="00651330" w:rsidP="00651330">
      <w:pPr>
        <w:pStyle w:val="Sinespaciado"/>
        <w:ind w:left="426"/>
        <w:jc w:val="both"/>
        <w:rPr>
          <w:rFonts w:ascii="Times New Roman" w:hAnsi="Times New Roman" w:cs="Times New Roman"/>
        </w:rPr>
      </w:pPr>
    </w:p>
    <w:p w14:paraId="274CC370" w14:textId="77777777" w:rsidR="00651330" w:rsidRDefault="00651330" w:rsidP="00651330">
      <w:pPr>
        <w:pStyle w:val="Sinespaciado"/>
        <w:numPr>
          <w:ilvl w:val="0"/>
          <w:numId w:val="46"/>
        </w:numPr>
        <w:ind w:left="426"/>
        <w:jc w:val="both"/>
        <w:rPr>
          <w:rFonts w:ascii="Times New Roman" w:hAnsi="Times New Roman" w:cs="Times New Roman"/>
        </w:rPr>
      </w:pPr>
      <w:r w:rsidRPr="00223FB7">
        <w:rPr>
          <w:rFonts w:ascii="Times New Roman" w:hAnsi="Times New Roman" w:cs="Times New Roman"/>
        </w:rPr>
        <w:t>El Fondo Social de Solidaridad con reprogramación de obras, también del Decreto número 21-2022.</w:t>
      </w:r>
    </w:p>
    <w:p w14:paraId="71B2C02D" w14:textId="77777777" w:rsidR="00651330" w:rsidRDefault="00651330" w:rsidP="00651330">
      <w:pPr>
        <w:pStyle w:val="Prrafodelista"/>
        <w:rPr>
          <w:rFonts w:cs="Times New Roman"/>
        </w:rPr>
      </w:pPr>
    </w:p>
    <w:p w14:paraId="46F271BC" w14:textId="77777777" w:rsidR="00651330" w:rsidRDefault="00651330" w:rsidP="00651330">
      <w:pPr>
        <w:pStyle w:val="Sinespaciado"/>
        <w:numPr>
          <w:ilvl w:val="0"/>
          <w:numId w:val="46"/>
        </w:numPr>
        <w:ind w:left="426"/>
        <w:jc w:val="both"/>
        <w:rPr>
          <w:rFonts w:ascii="Times New Roman" w:hAnsi="Times New Roman" w:cs="Times New Roman"/>
        </w:rPr>
      </w:pPr>
      <w:r w:rsidRPr="00223FB7">
        <w:rPr>
          <w:rFonts w:ascii="Times New Roman" w:hAnsi="Times New Roman" w:cs="Times New Roman"/>
        </w:rPr>
        <w:t>El Ministerio de Energía y Minas con una modificación presupuestaria para garantizar el apoyo social temporal a los consumidores del gas propano, establecido en el Decreto número 5-2023.</w:t>
      </w:r>
    </w:p>
    <w:p w14:paraId="5B36ECFF" w14:textId="77777777" w:rsidR="00793905" w:rsidRDefault="00793905" w:rsidP="00793905">
      <w:pPr>
        <w:pStyle w:val="Prrafodelista"/>
        <w:rPr>
          <w:rFonts w:cs="Times New Roman"/>
        </w:rPr>
      </w:pPr>
    </w:p>
    <w:p w14:paraId="5E021D8D" w14:textId="77777777" w:rsidR="00651330" w:rsidRDefault="00651330" w:rsidP="00651330">
      <w:pPr>
        <w:pStyle w:val="Sinespaciado"/>
        <w:numPr>
          <w:ilvl w:val="0"/>
          <w:numId w:val="46"/>
        </w:numPr>
        <w:ind w:left="426"/>
        <w:jc w:val="both"/>
        <w:rPr>
          <w:rFonts w:ascii="Times New Roman" w:hAnsi="Times New Roman" w:cs="Times New Roman"/>
        </w:rPr>
      </w:pPr>
      <w:r w:rsidRPr="00223FB7">
        <w:rPr>
          <w:rFonts w:ascii="Times New Roman" w:hAnsi="Times New Roman" w:cs="Times New Roman"/>
        </w:rPr>
        <w:t>En las Obligaciones del Estado a Cargo del Tesoro se dio una ampliación para cumplir con el subsidio a la ampliación de la tarifa social eléctrica, así como el incremento a las jubilaciones y pensiones del régimen de clases pasivas y civiles del Estado.</w:t>
      </w:r>
    </w:p>
    <w:p w14:paraId="76754C6E" w14:textId="77777777" w:rsidR="00651330" w:rsidRDefault="00651330" w:rsidP="00651330">
      <w:pPr>
        <w:pStyle w:val="Sinespaciado"/>
        <w:ind w:left="426"/>
        <w:jc w:val="both"/>
        <w:rPr>
          <w:rFonts w:ascii="Times New Roman" w:hAnsi="Times New Roman" w:cs="Times New Roman"/>
        </w:rPr>
      </w:pPr>
    </w:p>
    <w:p w14:paraId="3CF6B685" w14:textId="2FA4CAA7" w:rsidR="0041020F" w:rsidRDefault="00651330" w:rsidP="00793905">
      <w:pPr>
        <w:pStyle w:val="Sinespaciado"/>
        <w:numPr>
          <w:ilvl w:val="0"/>
          <w:numId w:val="46"/>
        </w:numPr>
        <w:ind w:left="426"/>
        <w:jc w:val="both"/>
        <w:rPr>
          <w:rFonts w:ascii="Times New Roman" w:hAnsi="Times New Roman" w:cs="Times New Roman"/>
        </w:rPr>
      </w:pPr>
      <w:r w:rsidRPr="00223FB7">
        <w:rPr>
          <w:rFonts w:ascii="Times New Roman" w:hAnsi="Times New Roman" w:cs="Times New Roman"/>
        </w:rPr>
        <w:t>En el Ministerio de Desarrollo Social se realizó una ampliación para cubrir el pago de los beneficiarios según Decreto número 51-2022 “Ley Temporal de Desarrollo Integral”.</w:t>
      </w:r>
    </w:p>
    <w:p w14:paraId="5DE6AF90" w14:textId="77777777" w:rsidR="000F794A" w:rsidRDefault="000F794A" w:rsidP="000F794A">
      <w:pPr>
        <w:pStyle w:val="Prrafodelista"/>
        <w:rPr>
          <w:rFonts w:cs="Times New Roman"/>
        </w:rPr>
      </w:pPr>
    </w:p>
    <w:p w14:paraId="63F74DC4" w14:textId="77777777" w:rsidR="00380981" w:rsidRPr="00FC4688" w:rsidRDefault="00C84436" w:rsidP="00C17472">
      <w:pPr>
        <w:pStyle w:val="Prrafodelista"/>
        <w:numPr>
          <w:ilvl w:val="0"/>
          <w:numId w:val="1"/>
        </w:numPr>
        <w:ind w:left="426" w:hanging="426"/>
        <w:outlineLvl w:val="0"/>
        <w:rPr>
          <w:rFonts w:cs="Times New Roman"/>
          <w:b/>
          <w:sz w:val="24"/>
          <w:lang w:val="es-MX"/>
        </w:rPr>
      </w:pPr>
      <w:bookmarkStart w:id="1390" w:name="_Toc133576502"/>
      <w:r w:rsidRPr="00FC4688">
        <w:rPr>
          <w:rFonts w:cs="Times New Roman"/>
          <w:b/>
          <w:sz w:val="24"/>
          <w:lang w:val="es-MX"/>
        </w:rPr>
        <w:lastRenderedPageBreak/>
        <w:t>Resultado Fiscal</w:t>
      </w:r>
      <w:bookmarkEnd w:id="1390"/>
      <w:r w:rsidRPr="00FC4688">
        <w:rPr>
          <w:rFonts w:cs="Times New Roman"/>
          <w:b/>
          <w:sz w:val="24"/>
          <w:lang w:val="es-MX"/>
        </w:rPr>
        <w:t xml:space="preserve"> </w:t>
      </w:r>
    </w:p>
    <w:p w14:paraId="216F3BF0" w14:textId="77777777" w:rsidR="00C84436" w:rsidRPr="00FC4688" w:rsidRDefault="005F5E9E" w:rsidP="00D319A6">
      <w:pPr>
        <w:rPr>
          <w:rFonts w:eastAsiaTheme="majorEastAsia" w:cs="Times New Roman"/>
          <w:b/>
          <w:bCs/>
          <w:sz w:val="24"/>
          <w:szCs w:val="26"/>
        </w:rPr>
      </w:pPr>
      <w:bookmarkStart w:id="1391" w:name="_Toc42023982"/>
      <w:bookmarkStart w:id="1392" w:name="_Toc42024033"/>
      <w:bookmarkEnd w:id="1391"/>
      <w:bookmarkEnd w:id="1392"/>
      <w:r w:rsidRPr="00FC4688">
        <w:rPr>
          <w:rFonts w:eastAsiaTheme="majorEastAsia"/>
          <w:noProof/>
          <w:lang w:eastAsia="es-GT"/>
        </w:rPr>
        <w:drawing>
          <wp:inline distT="0" distB="0" distL="0" distR="0" wp14:anchorId="53C2D341" wp14:editId="1EF724EF">
            <wp:extent cx="5836920" cy="1854200"/>
            <wp:effectExtent l="76200" t="57150" r="87630" b="107950"/>
            <wp:docPr id="27" name="Diagrama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bookmarkStart w:id="1393" w:name="_Toc31624513"/>
      <w:bookmarkStart w:id="1394" w:name="_Toc31625365"/>
      <w:bookmarkStart w:id="1395" w:name="_Toc31626820"/>
      <w:bookmarkStart w:id="1396" w:name="_Toc31811271"/>
      <w:bookmarkStart w:id="1397" w:name="_Toc31811725"/>
      <w:bookmarkStart w:id="1398" w:name="_Toc31971888"/>
      <w:bookmarkStart w:id="1399" w:name="_Toc32230910"/>
      <w:bookmarkStart w:id="1400" w:name="_Toc33109798"/>
      <w:bookmarkStart w:id="1401" w:name="_Toc33109840"/>
      <w:bookmarkStart w:id="1402" w:name="_Toc33180561"/>
      <w:bookmarkStart w:id="1403" w:name="_Toc33180655"/>
      <w:bookmarkStart w:id="1404" w:name="_Toc33193552"/>
      <w:bookmarkStart w:id="1405" w:name="_Toc33193591"/>
      <w:bookmarkStart w:id="1406" w:name="_Toc33196788"/>
      <w:bookmarkStart w:id="1407" w:name="_Toc40691764"/>
      <w:bookmarkStart w:id="1408" w:name="_Toc40959164"/>
      <w:bookmarkStart w:id="1409" w:name="_Toc40975998"/>
      <w:bookmarkStart w:id="1410" w:name="_Toc40976067"/>
      <w:bookmarkStart w:id="1411" w:name="_Toc40993323"/>
      <w:bookmarkStart w:id="1412" w:name="_Toc40993705"/>
      <w:bookmarkStart w:id="1413" w:name="_Toc41037581"/>
      <w:bookmarkStart w:id="1414" w:name="_Toc41254141"/>
      <w:bookmarkStart w:id="1415" w:name="_Toc41254173"/>
      <w:bookmarkStart w:id="1416" w:name="_Toc41254193"/>
      <w:bookmarkStart w:id="1417" w:name="_Toc42023983"/>
      <w:bookmarkStart w:id="1418" w:name="_Toc42024034"/>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14:paraId="435B279A" w14:textId="77777777" w:rsidR="00182B79" w:rsidRPr="00FC4688" w:rsidRDefault="00182B79" w:rsidP="00182B79">
      <w:pPr>
        <w:pStyle w:val="Prrafodelista"/>
        <w:keepNext/>
        <w:keepLines/>
        <w:numPr>
          <w:ilvl w:val="0"/>
          <w:numId w:val="43"/>
        </w:numPr>
        <w:spacing w:after="120"/>
        <w:contextualSpacing w:val="0"/>
        <w:outlineLvl w:val="1"/>
        <w:rPr>
          <w:rFonts w:eastAsiaTheme="majorEastAsia" w:cs="Times New Roman"/>
          <w:b/>
          <w:bCs/>
          <w:vanish/>
          <w:sz w:val="24"/>
          <w:szCs w:val="26"/>
          <w:lang w:eastAsia="es-ES"/>
        </w:rPr>
      </w:pPr>
      <w:bookmarkStart w:id="1419" w:name="_Toc42069123"/>
      <w:bookmarkStart w:id="1420" w:name="_Toc49422069"/>
      <w:bookmarkStart w:id="1421" w:name="_Toc49422095"/>
      <w:bookmarkStart w:id="1422" w:name="_Toc49430674"/>
      <w:bookmarkStart w:id="1423" w:name="_Toc49430700"/>
      <w:bookmarkStart w:id="1424" w:name="_Toc49750477"/>
      <w:bookmarkStart w:id="1425" w:name="_Toc49750727"/>
      <w:bookmarkStart w:id="1426" w:name="_Toc49750755"/>
      <w:bookmarkStart w:id="1427" w:name="_Toc55284841"/>
      <w:bookmarkStart w:id="1428" w:name="_Toc55298859"/>
      <w:bookmarkStart w:id="1429" w:name="_Toc55373842"/>
      <w:bookmarkStart w:id="1430" w:name="_Toc55374018"/>
      <w:bookmarkStart w:id="1431" w:name="_Toc55375155"/>
      <w:bookmarkStart w:id="1432" w:name="_Toc55396563"/>
      <w:bookmarkStart w:id="1433" w:name="_Toc65230560"/>
      <w:bookmarkStart w:id="1434" w:name="_Toc65230798"/>
      <w:bookmarkStart w:id="1435" w:name="_Toc65232082"/>
      <w:bookmarkStart w:id="1436" w:name="_Toc65232327"/>
      <w:bookmarkStart w:id="1437" w:name="_Toc66716186"/>
      <w:bookmarkStart w:id="1438" w:name="_Toc71097230"/>
      <w:bookmarkStart w:id="1439" w:name="_Toc71097261"/>
      <w:bookmarkStart w:id="1440" w:name="_Toc71097336"/>
      <w:bookmarkStart w:id="1441" w:name="_Toc71108076"/>
      <w:bookmarkStart w:id="1442" w:name="_Toc79055270"/>
      <w:bookmarkStart w:id="1443" w:name="_Toc79055301"/>
      <w:bookmarkStart w:id="1444" w:name="_Toc79060192"/>
      <w:bookmarkStart w:id="1445" w:name="_Toc79060479"/>
      <w:bookmarkStart w:id="1446" w:name="_Toc81307836"/>
      <w:bookmarkStart w:id="1447" w:name="_Toc83376497"/>
      <w:bookmarkStart w:id="1448" w:name="_Toc86386736"/>
      <w:bookmarkStart w:id="1449" w:name="_Toc86405422"/>
      <w:bookmarkStart w:id="1450" w:name="_Toc98162452"/>
      <w:bookmarkStart w:id="1451" w:name="_Toc98162484"/>
      <w:bookmarkStart w:id="1452" w:name="_Toc98235010"/>
      <w:bookmarkStart w:id="1453" w:name="_Toc98235205"/>
      <w:bookmarkStart w:id="1454" w:name="_Toc98235290"/>
      <w:bookmarkStart w:id="1455" w:name="_Toc98757160"/>
      <w:bookmarkStart w:id="1456" w:name="_Toc101874715"/>
      <w:bookmarkStart w:id="1457" w:name="_Toc101954171"/>
      <w:bookmarkStart w:id="1458" w:name="_Toc101971988"/>
      <w:bookmarkStart w:id="1459" w:name="_Toc101974080"/>
      <w:bookmarkStart w:id="1460" w:name="_Toc102039765"/>
      <w:bookmarkStart w:id="1461" w:name="_Toc102039803"/>
      <w:bookmarkStart w:id="1462" w:name="_Toc102039843"/>
      <w:bookmarkStart w:id="1463" w:name="_Toc102039874"/>
      <w:bookmarkStart w:id="1464" w:name="_Toc102040932"/>
      <w:bookmarkStart w:id="1465" w:name="_Toc102477780"/>
      <w:bookmarkStart w:id="1466" w:name="_Toc102477811"/>
      <w:bookmarkStart w:id="1467" w:name="_Toc109824841"/>
      <w:bookmarkStart w:id="1468" w:name="_Toc109828797"/>
      <w:bookmarkStart w:id="1469" w:name="_Toc109828860"/>
      <w:bookmarkStart w:id="1470" w:name="_Toc109829036"/>
      <w:bookmarkStart w:id="1471" w:name="_Toc109829067"/>
      <w:bookmarkStart w:id="1472" w:name="_Toc109833911"/>
      <w:bookmarkStart w:id="1473" w:name="_Toc110237454"/>
      <w:bookmarkStart w:id="1474" w:name="_Toc117775331"/>
      <w:bookmarkStart w:id="1475" w:name="_Toc117781300"/>
      <w:bookmarkStart w:id="1476" w:name="_Toc125620828"/>
      <w:bookmarkStart w:id="1477" w:name="_Toc125620859"/>
      <w:bookmarkStart w:id="1478" w:name="_Toc125620890"/>
      <w:bookmarkStart w:id="1479" w:name="_Toc125620926"/>
      <w:bookmarkStart w:id="1480" w:name="_Toc125620957"/>
      <w:bookmarkStart w:id="1481" w:name="_Toc125620991"/>
      <w:bookmarkStart w:id="1482" w:name="_Toc125621044"/>
      <w:bookmarkStart w:id="1483" w:name="_Toc125621098"/>
      <w:bookmarkStart w:id="1484" w:name="_Toc125623576"/>
      <w:bookmarkStart w:id="1485" w:name="_Toc125623608"/>
      <w:bookmarkStart w:id="1486" w:name="_Toc125623640"/>
      <w:bookmarkStart w:id="1487" w:name="_Toc125970386"/>
      <w:bookmarkStart w:id="1488" w:name="_Toc125970418"/>
      <w:bookmarkStart w:id="1489" w:name="_Toc127365869"/>
      <w:bookmarkStart w:id="1490" w:name="_Toc127434620"/>
      <w:bookmarkStart w:id="1491" w:name="_Toc127436988"/>
      <w:bookmarkStart w:id="1492" w:name="_Toc127437349"/>
      <w:bookmarkStart w:id="1493" w:name="_Toc127437704"/>
      <w:bookmarkStart w:id="1494" w:name="_Toc133492798"/>
      <w:bookmarkStart w:id="1495" w:name="_Toc133492995"/>
      <w:bookmarkStart w:id="1496" w:name="_Toc133493217"/>
      <w:bookmarkStart w:id="1497" w:name="_Toc133497851"/>
      <w:bookmarkStart w:id="1498" w:name="_Toc133505571"/>
      <w:bookmarkStart w:id="1499" w:name="_Toc133576149"/>
      <w:bookmarkStart w:id="1500" w:name="_Toc133576221"/>
      <w:bookmarkStart w:id="1501" w:name="_Toc133576254"/>
      <w:bookmarkStart w:id="1502" w:name="_Toc133576286"/>
      <w:bookmarkStart w:id="1503" w:name="_Toc133576318"/>
      <w:bookmarkStart w:id="1504" w:name="_Toc133576350"/>
      <w:bookmarkStart w:id="1505" w:name="_Toc133576403"/>
      <w:bookmarkStart w:id="1506" w:name="_Toc133576437"/>
      <w:bookmarkStart w:id="1507" w:name="_Toc133576470"/>
      <w:bookmarkStart w:id="1508" w:name="_Toc133576503"/>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14:paraId="1B0B0861" w14:textId="7405193D" w:rsidR="00364844" w:rsidRPr="00FC4688" w:rsidRDefault="00BD6585" w:rsidP="00D11ADD">
      <w:pPr>
        <w:pStyle w:val="Ttulo2"/>
        <w:numPr>
          <w:ilvl w:val="1"/>
          <w:numId w:val="43"/>
        </w:numPr>
        <w:tabs>
          <w:tab w:val="left" w:pos="426"/>
        </w:tabs>
        <w:spacing w:before="0"/>
        <w:ind w:left="284" w:hanging="284"/>
        <w:rPr>
          <w:rFonts w:ascii="Times New Roman" w:hAnsi="Times New Roman" w:cs="Times New Roman"/>
          <w:color w:val="auto"/>
          <w:sz w:val="24"/>
        </w:rPr>
      </w:pPr>
      <w:bookmarkStart w:id="1509" w:name="_Toc133576504"/>
      <w:r w:rsidRPr="00FC4688">
        <w:rPr>
          <w:rFonts w:ascii="Times New Roman" w:hAnsi="Times New Roman" w:cs="Times New Roman"/>
          <w:color w:val="auto"/>
          <w:sz w:val="24"/>
        </w:rPr>
        <w:t>R</w:t>
      </w:r>
      <w:r w:rsidR="00540B30" w:rsidRPr="00FC4688">
        <w:rPr>
          <w:rFonts w:ascii="Times New Roman" w:hAnsi="Times New Roman" w:cs="Times New Roman"/>
          <w:color w:val="auto"/>
          <w:sz w:val="24"/>
        </w:rPr>
        <w:t xml:space="preserve">esultado </w:t>
      </w:r>
      <w:r w:rsidR="003C3E6F" w:rsidRPr="00FC4688">
        <w:rPr>
          <w:rFonts w:ascii="Times New Roman" w:hAnsi="Times New Roman" w:cs="Times New Roman"/>
          <w:color w:val="auto"/>
          <w:sz w:val="24"/>
        </w:rPr>
        <w:t>O</w:t>
      </w:r>
      <w:r w:rsidR="00540B30" w:rsidRPr="00FC4688">
        <w:rPr>
          <w:rFonts w:ascii="Times New Roman" w:hAnsi="Times New Roman" w:cs="Times New Roman"/>
          <w:color w:val="auto"/>
          <w:sz w:val="24"/>
        </w:rPr>
        <w:t>perativo</w:t>
      </w:r>
      <w:bookmarkEnd w:id="1509"/>
      <w:r w:rsidR="00EE52DF" w:rsidRPr="00FC4688">
        <w:rPr>
          <w:rFonts w:ascii="Times New Roman" w:hAnsi="Times New Roman" w:cs="Times New Roman"/>
          <w:color w:val="auto"/>
          <w:sz w:val="24"/>
        </w:rPr>
        <w:t xml:space="preserve"> </w:t>
      </w:r>
      <w:bookmarkEnd w:id="695"/>
    </w:p>
    <w:p w14:paraId="453D35AE" w14:textId="354BAF59" w:rsidR="00BB3A21" w:rsidRPr="00FC4688" w:rsidRDefault="000E5B2A" w:rsidP="0045490A">
      <w:pPr>
        <w:pStyle w:val="Sinespaciado"/>
        <w:jc w:val="both"/>
        <w:rPr>
          <w:rFonts w:ascii="Times New Roman" w:hAnsi="Times New Roman" w:cs="Times New Roman"/>
        </w:rPr>
      </w:pPr>
      <w:r>
        <w:rPr>
          <w:rFonts w:ascii="Times New Roman" w:hAnsi="Times New Roman" w:cs="Times New Roman"/>
        </w:rPr>
        <w:t xml:space="preserve">El resultado </w:t>
      </w:r>
      <w:r w:rsidR="00EF6511">
        <w:rPr>
          <w:rFonts w:ascii="Times New Roman" w:hAnsi="Times New Roman" w:cs="Times New Roman"/>
        </w:rPr>
        <w:t xml:space="preserve">operativo </w:t>
      </w:r>
      <w:r w:rsidR="00C001BA">
        <w:rPr>
          <w:rFonts w:ascii="Times New Roman" w:hAnsi="Times New Roman" w:cs="Times New Roman"/>
        </w:rPr>
        <w:t>para el primer trimestre del 2023</w:t>
      </w:r>
      <w:r w:rsidR="005D1254" w:rsidRPr="00FC4688">
        <w:rPr>
          <w:rFonts w:ascii="Times New Roman" w:hAnsi="Times New Roman" w:cs="Times New Roman"/>
        </w:rPr>
        <w:t xml:space="preserve"> </w:t>
      </w:r>
      <w:r w:rsidR="00EF6511">
        <w:rPr>
          <w:rFonts w:ascii="Times New Roman" w:hAnsi="Times New Roman" w:cs="Times New Roman"/>
        </w:rPr>
        <w:t>es positivo por</w:t>
      </w:r>
      <w:r w:rsidR="007A0181" w:rsidRPr="00FC4688">
        <w:rPr>
          <w:rFonts w:ascii="Times New Roman" w:hAnsi="Times New Roman" w:cs="Times New Roman"/>
        </w:rPr>
        <w:t xml:space="preserve"> Q</w:t>
      </w:r>
      <w:r w:rsidR="00366786">
        <w:rPr>
          <w:rFonts w:ascii="Times New Roman" w:hAnsi="Times New Roman" w:cs="Times New Roman"/>
        </w:rPr>
        <w:t>1</w:t>
      </w:r>
      <w:r w:rsidR="00F22F28" w:rsidRPr="00F22F28">
        <w:rPr>
          <w:rFonts w:ascii="Times New Roman" w:hAnsi="Times New Roman" w:cs="Times New Roman"/>
        </w:rPr>
        <w:t>,</w:t>
      </w:r>
      <w:r w:rsidR="00366786">
        <w:rPr>
          <w:rFonts w:ascii="Times New Roman" w:hAnsi="Times New Roman" w:cs="Times New Roman"/>
        </w:rPr>
        <w:t>048</w:t>
      </w:r>
      <w:r w:rsidR="00F22F28" w:rsidRPr="00F22F28">
        <w:rPr>
          <w:rFonts w:ascii="Times New Roman" w:hAnsi="Times New Roman" w:cs="Times New Roman"/>
        </w:rPr>
        <w:t>.</w:t>
      </w:r>
      <w:r w:rsidR="00366786">
        <w:rPr>
          <w:rFonts w:ascii="Times New Roman" w:hAnsi="Times New Roman" w:cs="Times New Roman"/>
        </w:rPr>
        <w:t>0</w:t>
      </w:r>
      <w:r w:rsidR="008A10F4" w:rsidRPr="00FC4688">
        <w:rPr>
          <w:rFonts w:ascii="Times New Roman" w:hAnsi="Times New Roman" w:cs="Times New Roman"/>
        </w:rPr>
        <w:t xml:space="preserve"> </w:t>
      </w:r>
      <w:r w:rsidR="007A0181" w:rsidRPr="00FC4688">
        <w:rPr>
          <w:rFonts w:ascii="Times New Roman" w:hAnsi="Times New Roman" w:cs="Times New Roman"/>
        </w:rPr>
        <w:t>millones</w:t>
      </w:r>
      <w:r w:rsidR="0020052E">
        <w:rPr>
          <w:rFonts w:ascii="Times New Roman" w:hAnsi="Times New Roman" w:cs="Times New Roman"/>
        </w:rPr>
        <w:t xml:space="preserve"> </w:t>
      </w:r>
      <w:r w:rsidR="00D654C0">
        <w:rPr>
          <w:rFonts w:ascii="Times New Roman" w:hAnsi="Times New Roman" w:cs="Times New Roman"/>
        </w:rPr>
        <w:t xml:space="preserve">mientras </w:t>
      </w:r>
      <w:r w:rsidR="00793905">
        <w:rPr>
          <w:rFonts w:ascii="Times New Roman" w:hAnsi="Times New Roman" w:cs="Times New Roman"/>
        </w:rPr>
        <w:t>que,</w:t>
      </w:r>
      <w:r w:rsidR="00D654C0">
        <w:rPr>
          <w:rFonts w:ascii="Times New Roman" w:hAnsi="Times New Roman" w:cs="Times New Roman"/>
        </w:rPr>
        <w:t xml:space="preserve"> en el mismo periodo del año previo, se había observado un resultado positivo por Q1,994.5 millones</w:t>
      </w:r>
      <w:r w:rsidR="00D564B9">
        <w:rPr>
          <w:rFonts w:ascii="Times New Roman" w:hAnsi="Times New Roman" w:cs="Times New Roman"/>
        </w:rPr>
        <w:t xml:space="preserve"> siendo una disminución de Q946.5 millones</w:t>
      </w:r>
      <w:r w:rsidR="001C2953">
        <w:rPr>
          <w:rFonts w:ascii="Times New Roman" w:hAnsi="Times New Roman" w:cs="Times New Roman"/>
        </w:rPr>
        <w:t xml:space="preserve"> en el resultado operativo de este año</w:t>
      </w:r>
      <w:r w:rsidR="004B4F1A" w:rsidRPr="00FC4688">
        <w:rPr>
          <w:rFonts w:ascii="Times New Roman" w:hAnsi="Times New Roman" w:cs="Times New Roman"/>
        </w:rPr>
        <w:t>.</w:t>
      </w:r>
      <w:r w:rsidR="00BB3A21" w:rsidRPr="00FC4688">
        <w:rPr>
          <w:rFonts w:ascii="Times New Roman" w:hAnsi="Times New Roman" w:cs="Times New Roman"/>
        </w:rPr>
        <w:t xml:space="preserve"> </w:t>
      </w:r>
    </w:p>
    <w:p w14:paraId="5703A0BB" w14:textId="77777777" w:rsidR="00BB3A21" w:rsidRPr="00FC4688" w:rsidRDefault="00BB3A21" w:rsidP="0045490A">
      <w:pPr>
        <w:pStyle w:val="Sinespaciado"/>
        <w:jc w:val="both"/>
        <w:rPr>
          <w:rFonts w:ascii="Times New Roman" w:hAnsi="Times New Roman" w:cs="Times New Roman"/>
        </w:rPr>
      </w:pPr>
    </w:p>
    <w:p w14:paraId="60D0EA53" w14:textId="60F1FB00" w:rsidR="00973029" w:rsidRPr="00FC4688" w:rsidRDefault="001C2953" w:rsidP="0045490A">
      <w:pPr>
        <w:pStyle w:val="Sinespaciado"/>
        <w:jc w:val="both"/>
        <w:rPr>
          <w:rFonts w:ascii="Times New Roman" w:hAnsi="Times New Roman" w:cs="Times New Roman"/>
        </w:rPr>
      </w:pPr>
      <w:r>
        <w:rPr>
          <w:rFonts w:ascii="Times New Roman" w:hAnsi="Times New Roman" w:cs="Times New Roman"/>
        </w:rPr>
        <w:t xml:space="preserve">Por su </w:t>
      </w:r>
      <w:r w:rsidRPr="00314806">
        <w:rPr>
          <w:rFonts w:ascii="Times New Roman" w:hAnsi="Times New Roman" w:cs="Times New Roman"/>
        </w:rPr>
        <w:t>parte,</w:t>
      </w:r>
      <w:r w:rsidR="00314806" w:rsidRPr="00314806">
        <w:rPr>
          <w:rFonts w:ascii="Times New Roman" w:hAnsi="Times New Roman" w:cs="Times New Roman"/>
        </w:rPr>
        <w:t xml:space="preserve"> el </w:t>
      </w:r>
      <w:r w:rsidR="00976100" w:rsidRPr="00314806">
        <w:rPr>
          <w:rFonts w:ascii="Times New Roman" w:hAnsi="Times New Roman" w:cs="Times New Roman"/>
        </w:rPr>
        <w:t>resultado operativo</w:t>
      </w:r>
      <w:r w:rsidR="00976100" w:rsidRPr="00FC4688">
        <w:rPr>
          <w:rFonts w:ascii="Times New Roman" w:hAnsi="Times New Roman" w:cs="Times New Roman"/>
        </w:rPr>
        <w:t xml:space="preserve"> primario (sin considerar el pago de intereses) </w:t>
      </w:r>
      <w:r>
        <w:rPr>
          <w:rFonts w:ascii="Times New Roman" w:hAnsi="Times New Roman" w:cs="Times New Roman"/>
        </w:rPr>
        <w:t xml:space="preserve">es </w:t>
      </w:r>
      <w:r w:rsidR="00D30E14">
        <w:rPr>
          <w:rFonts w:ascii="Times New Roman" w:hAnsi="Times New Roman" w:cs="Times New Roman"/>
        </w:rPr>
        <w:t>de Q</w:t>
      </w:r>
      <w:r w:rsidRPr="001C2953">
        <w:rPr>
          <w:rFonts w:ascii="Times New Roman" w:hAnsi="Times New Roman" w:cs="Times New Roman"/>
        </w:rPr>
        <w:t>3,710.1</w:t>
      </w:r>
      <w:r w:rsidR="00CB218A">
        <w:rPr>
          <w:rFonts w:ascii="Times New Roman" w:hAnsi="Times New Roman" w:cs="Times New Roman"/>
        </w:rPr>
        <w:t xml:space="preserve"> millones</w:t>
      </w:r>
      <w:r>
        <w:rPr>
          <w:rFonts w:ascii="Times New Roman" w:hAnsi="Times New Roman" w:cs="Times New Roman"/>
        </w:rPr>
        <w:t xml:space="preserve"> al finalizar el mes de marzo 2023 mientras </w:t>
      </w:r>
      <w:r w:rsidR="00AF2D6E">
        <w:rPr>
          <w:rFonts w:ascii="Times New Roman" w:hAnsi="Times New Roman" w:cs="Times New Roman"/>
        </w:rPr>
        <w:t>que,</w:t>
      </w:r>
      <w:r>
        <w:rPr>
          <w:rFonts w:ascii="Times New Roman" w:hAnsi="Times New Roman" w:cs="Times New Roman"/>
        </w:rPr>
        <w:t xml:space="preserve"> en el año previo, este había sido de </w:t>
      </w:r>
      <w:r w:rsidR="006F4649">
        <w:rPr>
          <w:rFonts w:ascii="Times New Roman" w:hAnsi="Times New Roman" w:cs="Times New Roman"/>
        </w:rPr>
        <w:t>Q</w:t>
      </w:r>
      <w:r w:rsidR="006F4649" w:rsidRPr="006F4649">
        <w:rPr>
          <w:rFonts w:ascii="Times New Roman" w:hAnsi="Times New Roman" w:cs="Times New Roman"/>
        </w:rPr>
        <w:t>4,049.4</w:t>
      </w:r>
      <w:r w:rsidR="006F4649">
        <w:rPr>
          <w:rFonts w:ascii="Times New Roman" w:hAnsi="Times New Roman" w:cs="Times New Roman"/>
        </w:rPr>
        <w:t xml:space="preserve"> millones siendo una disminución interanual de Q339.4 millones</w:t>
      </w:r>
    </w:p>
    <w:p w14:paraId="0C721065" w14:textId="77777777" w:rsidR="00973029" w:rsidRPr="00FC4688" w:rsidRDefault="00973029" w:rsidP="0045490A">
      <w:pPr>
        <w:pStyle w:val="Sinespaciado"/>
        <w:jc w:val="both"/>
        <w:rPr>
          <w:rFonts w:ascii="Times New Roman" w:hAnsi="Times New Roman" w:cs="Times New Roman"/>
        </w:rPr>
      </w:pPr>
    </w:p>
    <w:p w14:paraId="10242320" w14:textId="1445C747" w:rsidR="00374C59" w:rsidRPr="00FC4688" w:rsidRDefault="00B4032C" w:rsidP="00D11ADD">
      <w:pPr>
        <w:pStyle w:val="Ttulo2"/>
        <w:numPr>
          <w:ilvl w:val="1"/>
          <w:numId w:val="43"/>
        </w:numPr>
        <w:tabs>
          <w:tab w:val="left" w:pos="426"/>
        </w:tabs>
        <w:spacing w:before="0"/>
        <w:ind w:left="284" w:hanging="284"/>
        <w:rPr>
          <w:rFonts w:ascii="Times New Roman" w:hAnsi="Times New Roman" w:cs="Times New Roman"/>
          <w:color w:val="auto"/>
          <w:sz w:val="24"/>
        </w:rPr>
      </w:pPr>
      <w:bookmarkStart w:id="1510" w:name="_Toc133576505"/>
      <w:r>
        <w:rPr>
          <w:rFonts w:ascii="Times New Roman" w:hAnsi="Times New Roman" w:cs="Times New Roman"/>
          <w:color w:val="auto"/>
          <w:sz w:val="24"/>
        </w:rPr>
        <w:t>Endeudamiento Neto</w:t>
      </w:r>
      <w:bookmarkEnd w:id="1510"/>
    </w:p>
    <w:p w14:paraId="16990FF1" w14:textId="5E6F60F0" w:rsidR="000F4B0C" w:rsidRPr="00FC4688" w:rsidRDefault="002010C5" w:rsidP="000A4AD2">
      <w:pPr>
        <w:pStyle w:val="Sinespaciado"/>
        <w:jc w:val="both"/>
        <w:rPr>
          <w:rFonts w:ascii="Times New Roman" w:hAnsi="Times New Roman" w:cs="Times New Roman"/>
        </w:rPr>
      </w:pPr>
      <w:r>
        <w:rPr>
          <w:rFonts w:ascii="Times New Roman" w:hAnsi="Times New Roman" w:cs="Times New Roman"/>
        </w:rPr>
        <w:t xml:space="preserve">En </w:t>
      </w:r>
      <w:r w:rsidR="007F6A19">
        <w:rPr>
          <w:rFonts w:ascii="Times New Roman" w:hAnsi="Times New Roman" w:cs="Times New Roman"/>
        </w:rPr>
        <w:t xml:space="preserve">cuanto </w:t>
      </w:r>
      <w:r w:rsidR="00292F02">
        <w:rPr>
          <w:rFonts w:ascii="Times New Roman" w:hAnsi="Times New Roman" w:cs="Times New Roman"/>
        </w:rPr>
        <w:t>al resultado fiscal global</w:t>
      </w:r>
      <w:r w:rsidR="00AF2D6E">
        <w:rPr>
          <w:rFonts w:ascii="Times New Roman" w:hAnsi="Times New Roman" w:cs="Times New Roman"/>
        </w:rPr>
        <w:t xml:space="preserve"> (Ingresos menos Erogaciones)</w:t>
      </w:r>
      <w:r w:rsidR="00292F02">
        <w:rPr>
          <w:rFonts w:ascii="Times New Roman" w:hAnsi="Times New Roman" w:cs="Times New Roman"/>
        </w:rPr>
        <w:t xml:space="preserve"> de</w:t>
      </w:r>
      <w:r w:rsidR="007941DA">
        <w:rPr>
          <w:rFonts w:ascii="Times New Roman" w:hAnsi="Times New Roman" w:cs="Times New Roman"/>
        </w:rPr>
        <w:t>l</w:t>
      </w:r>
      <w:r w:rsidR="00292F02">
        <w:rPr>
          <w:rFonts w:ascii="Times New Roman" w:hAnsi="Times New Roman" w:cs="Times New Roman"/>
        </w:rPr>
        <w:t xml:space="preserve"> </w:t>
      </w:r>
      <w:r w:rsidR="00793905">
        <w:rPr>
          <w:rFonts w:ascii="Times New Roman" w:hAnsi="Times New Roman" w:cs="Times New Roman"/>
        </w:rPr>
        <w:t>G</w:t>
      </w:r>
      <w:r>
        <w:rPr>
          <w:rFonts w:ascii="Times New Roman" w:hAnsi="Times New Roman" w:cs="Times New Roman"/>
        </w:rPr>
        <w:t xml:space="preserve">obierno </w:t>
      </w:r>
      <w:r w:rsidR="00793905">
        <w:rPr>
          <w:rFonts w:ascii="Times New Roman" w:hAnsi="Times New Roman" w:cs="Times New Roman"/>
        </w:rPr>
        <w:t>C</w:t>
      </w:r>
      <w:r>
        <w:rPr>
          <w:rFonts w:ascii="Times New Roman" w:hAnsi="Times New Roman" w:cs="Times New Roman"/>
        </w:rPr>
        <w:t xml:space="preserve">entral </w:t>
      </w:r>
      <w:r w:rsidR="00793905">
        <w:rPr>
          <w:rFonts w:ascii="Times New Roman" w:hAnsi="Times New Roman" w:cs="Times New Roman"/>
        </w:rPr>
        <w:t>P</w:t>
      </w:r>
      <w:r w:rsidR="000A4AD2">
        <w:rPr>
          <w:rFonts w:ascii="Times New Roman" w:hAnsi="Times New Roman" w:cs="Times New Roman"/>
        </w:rPr>
        <w:t>resupuestario</w:t>
      </w:r>
      <w:r w:rsidR="00292F02">
        <w:rPr>
          <w:rFonts w:ascii="Times New Roman" w:hAnsi="Times New Roman" w:cs="Times New Roman"/>
        </w:rPr>
        <w:t xml:space="preserve">, se </w:t>
      </w:r>
      <w:r w:rsidR="00D30E14">
        <w:rPr>
          <w:rFonts w:ascii="Times New Roman" w:hAnsi="Times New Roman" w:cs="Times New Roman"/>
        </w:rPr>
        <w:t>observa</w:t>
      </w:r>
      <w:r w:rsidR="00292F02">
        <w:rPr>
          <w:rFonts w:ascii="Times New Roman" w:hAnsi="Times New Roman" w:cs="Times New Roman"/>
        </w:rPr>
        <w:t xml:space="preserve"> </w:t>
      </w:r>
      <w:r w:rsidR="00D30E14">
        <w:rPr>
          <w:rFonts w:ascii="Times New Roman" w:hAnsi="Times New Roman" w:cs="Times New Roman"/>
        </w:rPr>
        <w:t xml:space="preserve">un endeudamiento (déficit) </w:t>
      </w:r>
      <w:r w:rsidR="00B007DB" w:rsidRPr="00FC4688">
        <w:rPr>
          <w:rFonts w:ascii="Times New Roman" w:hAnsi="Times New Roman" w:cs="Times New Roman"/>
        </w:rPr>
        <w:t>de Q</w:t>
      </w:r>
      <w:r w:rsidR="008A7423">
        <w:rPr>
          <w:rFonts w:ascii="Times New Roman" w:hAnsi="Times New Roman" w:cs="Times New Roman"/>
        </w:rPr>
        <w:t>174.8</w:t>
      </w:r>
      <w:r w:rsidR="00836E10">
        <w:rPr>
          <w:rFonts w:ascii="Times New Roman" w:hAnsi="Times New Roman" w:cs="Times New Roman"/>
        </w:rPr>
        <w:t xml:space="preserve"> </w:t>
      </w:r>
      <w:r w:rsidR="008A7423">
        <w:rPr>
          <w:rFonts w:ascii="Times New Roman" w:hAnsi="Times New Roman" w:cs="Times New Roman"/>
        </w:rPr>
        <w:t>millones</w:t>
      </w:r>
      <w:r w:rsidR="00CB13A3">
        <w:rPr>
          <w:rFonts w:ascii="Times New Roman" w:hAnsi="Times New Roman" w:cs="Times New Roman"/>
        </w:rPr>
        <w:t xml:space="preserve"> para el primer trimestre del 2023 mientras </w:t>
      </w:r>
      <w:r w:rsidR="00825571">
        <w:rPr>
          <w:rFonts w:ascii="Times New Roman" w:hAnsi="Times New Roman" w:cs="Times New Roman"/>
        </w:rPr>
        <w:t>que,</w:t>
      </w:r>
      <w:r w:rsidR="00CB13A3">
        <w:rPr>
          <w:rFonts w:ascii="Times New Roman" w:hAnsi="Times New Roman" w:cs="Times New Roman"/>
        </w:rPr>
        <w:t xml:space="preserve"> en el año previo, se había observado un resultado </w:t>
      </w:r>
      <w:r w:rsidR="00F4628D">
        <w:rPr>
          <w:rFonts w:ascii="Times New Roman" w:hAnsi="Times New Roman" w:cs="Times New Roman"/>
        </w:rPr>
        <w:t>positivo (superávit) por Q</w:t>
      </w:r>
      <w:r w:rsidR="00F4628D" w:rsidRPr="00F4628D">
        <w:rPr>
          <w:rFonts w:ascii="Times New Roman" w:hAnsi="Times New Roman" w:cs="Times New Roman"/>
        </w:rPr>
        <w:t>1,187.6</w:t>
      </w:r>
      <w:r w:rsidR="00F4628D">
        <w:rPr>
          <w:rFonts w:ascii="Times New Roman" w:hAnsi="Times New Roman" w:cs="Times New Roman"/>
        </w:rPr>
        <w:t xml:space="preserve"> millones</w:t>
      </w:r>
      <w:r w:rsidR="00793905">
        <w:rPr>
          <w:rFonts w:ascii="Times New Roman" w:hAnsi="Times New Roman" w:cs="Times New Roman"/>
        </w:rPr>
        <w:t xml:space="preserve"> y esto es una reducción de Q</w:t>
      </w:r>
      <w:r w:rsidR="00793905" w:rsidRPr="00793905">
        <w:rPr>
          <w:rFonts w:ascii="Times New Roman" w:hAnsi="Times New Roman" w:cs="Times New Roman"/>
        </w:rPr>
        <w:t>1,362.4</w:t>
      </w:r>
      <w:r w:rsidR="00793905">
        <w:rPr>
          <w:rFonts w:ascii="Times New Roman" w:hAnsi="Times New Roman" w:cs="Times New Roman"/>
        </w:rPr>
        <w:t xml:space="preserve"> millone</w:t>
      </w:r>
      <w:r w:rsidR="00D14033">
        <w:rPr>
          <w:rFonts w:ascii="Times New Roman" w:hAnsi="Times New Roman" w:cs="Times New Roman"/>
        </w:rPr>
        <w:t>s, debido principalmente al aumento en las erogaciones del Estado que muestran un mayor dinamismo que el comportamiento de los ingresos fiscales a la fecha indicada.</w:t>
      </w:r>
    </w:p>
    <w:p w14:paraId="653162DB" w14:textId="77777777" w:rsidR="004911A4" w:rsidRPr="00FC4688" w:rsidRDefault="004911A4">
      <w:pPr>
        <w:spacing w:after="200" w:line="276" w:lineRule="auto"/>
        <w:jc w:val="left"/>
        <w:rPr>
          <w:rFonts w:cs="Times New Roman"/>
          <w:b/>
          <w:szCs w:val="22"/>
          <w:lang w:val="es-MX"/>
        </w:rPr>
      </w:pPr>
      <w:r w:rsidRPr="00FC4688">
        <w:rPr>
          <w:rFonts w:cs="Times New Roman"/>
          <w:b/>
          <w:szCs w:val="22"/>
          <w:lang w:val="es-MX"/>
        </w:rPr>
        <w:br w:type="page"/>
      </w:r>
    </w:p>
    <w:p w14:paraId="020DDCB3" w14:textId="6E163663" w:rsidR="00264A75" w:rsidRPr="00FC4688" w:rsidRDefault="00264A75" w:rsidP="00997543">
      <w:pPr>
        <w:jc w:val="center"/>
        <w:rPr>
          <w:rFonts w:cs="Times New Roman"/>
          <w:b/>
          <w:szCs w:val="22"/>
          <w:lang w:val="es-MX"/>
        </w:rPr>
      </w:pPr>
      <w:r w:rsidRPr="00FC4688">
        <w:rPr>
          <w:rFonts w:cs="Times New Roman"/>
          <w:b/>
          <w:szCs w:val="22"/>
          <w:lang w:val="es-MX"/>
        </w:rPr>
        <w:lastRenderedPageBreak/>
        <w:t xml:space="preserve">Estado de </w:t>
      </w:r>
      <w:r w:rsidR="00697544" w:rsidRPr="00FC4688">
        <w:rPr>
          <w:rFonts w:cs="Times New Roman"/>
          <w:b/>
          <w:szCs w:val="22"/>
          <w:lang w:val="es-MX"/>
        </w:rPr>
        <w:t>O</w:t>
      </w:r>
      <w:r w:rsidRPr="00FC4688">
        <w:rPr>
          <w:rFonts w:cs="Times New Roman"/>
          <w:b/>
          <w:szCs w:val="22"/>
          <w:lang w:val="es-MX"/>
        </w:rPr>
        <w:t>peraciones</w:t>
      </w:r>
      <w:r w:rsidR="007105EE" w:rsidRPr="00FC4688">
        <w:rPr>
          <w:rFonts w:cs="Times New Roman"/>
          <w:b/>
          <w:szCs w:val="22"/>
          <w:lang w:val="es-MX"/>
        </w:rPr>
        <w:t xml:space="preserve"> </w:t>
      </w:r>
      <w:r w:rsidRPr="00FC4688">
        <w:rPr>
          <w:rFonts w:cs="Times New Roman"/>
          <w:b/>
          <w:szCs w:val="22"/>
          <w:lang w:val="es-MX"/>
        </w:rPr>
        <w:t>del Gobierno Central Presupuestario</w:t>
      </w:r>
    </w:p>
    <w:p w14:paraId="68D87BB8" w14:textId="1B85A757" w:rsidR="007105EE" w:rsidRPr="00FC4688" w:rsidRDefault="007105EE" w:rsidP="00997543">
      <w:pPr>
        <w:jc w:val="center"/>
        <w:rPr>
          <w:rFonts w:cs="Times New Roman"/>
          <w:b/>
          <w:szCs w:val="22"/>
          <w:lang w:val="es-MX"/>
        </w:rPr>
      </w:pPr>
      <w:r w:rsidRPr="00FC4688">
        <w:rPr>
          <w:rFonts w:cs="Times New Roman"/>
          <w:b/>
          <w:szCs w:val="22"/>
          <w:lang w:val="es-MX"/>
        </w:rPr>
        <w:t>Cifras acumuladas a</w:t>
      </w:r>
      <w:r w:rsidR="00417CFB">
        <w:rPr>
          <w:rFonts w:cs="Times New Roman"/>
          <w:b/>
          <w:szCs w:val="22"/>
          <w:lang w:val="es-MX"/>
        </w:rPr>
        <w:t xml:space="preserve">l 31 de marzo </w:t>
      </w:r>
      <w:r w:rsidR="0040363B" w:rsidRPr="00FC4688">
        <w:rPr>
          <w:rFonts w:cs="Times New Roman"/>
          <w:b/>
          <w:szCs w:val="22"/>
          <w:lang w:val="es-MX"/>
        </w:rPr>
        <w:t>de cada año</w:t>
      </w:r>
      <w:r w:rsidRPr="00FC4688">
        <w:rPr>
          <w:rFonts w:cs="Times New Roman"/>
          <w:b/>
          <w:szCs w:val="22"/>
          <w:lang w:val="es-MX"/>
        </w:rPr>
        <w:t>*</w:t>
      </w:r>
    </w:p>
    <w:p w14:paraId="3793E3FA" w14:textId="402859EF" w:rsidR="00A366A0" w:rsidRPr="00FC4688" w:rsidRDefault="00697544" w:rsidP="00944641">
      <w:pPr>
        <w:spacing w:after="240"/>
        <w:jc w:val="center"/>
        <w:rPr>
          <w:rFonts w:cs="Times New Roman"/>
          <w:sz w:val="16"/>
          <w:szCs w:val="22"/>
          <w:lang w:val="es-MX"/>
        </w:rPr>
      </w:pPr>
      <w:r w:rsidRPr="00FC4688">
        <w:rPr>
          <w:rFonts w:cs="Times New Roman"/>
          <w:bCs/>
          <w:szCs w:val="22"/>
          <w:lang w:val="es-MX"/>
        </w:rPr>
        <w:t>En millones de Quetzales</w:t>
      </w:r>
      <w:r w:rsidR="00414C97" w:rsidRPr="00FC4688">
        <w:rPr>
          <w:rFonts w:cs="Times New Roman"/>
          <w:bCs/>
          <w:szCs w:val="22"/>
          <w:lang w:val="es-MX"/>
        </w:rPr>
        <w:t xml:space="preserve"> y</w:t>
      </w:r>
      <w:r w:rsidR="0090006B" w:rsidRPr="00FC4688">
        <w:rPr>
          <w:rFonts w:cs="Times New Roman"/>
          <w:bCs/>
          <w:szCs w:val="22"/>
          <w:lang w:val="es-MX"/>
        </w:rPr>
        <w:t xml:space="preserve"> </w:t>
      </w:r>
      <w:r w:rsidR="00414C97" w:rsidRPr="00FC4688">
        <w:rPr>
          <w:rFonts w:cs="Times New Roman"/>
          <w:bCs/>
          <w:szCs w:val="22"/>
          <w:lang w:val="es-MX"/>
        </w:rPr>
        <w:t>Porcentajes</w:t>
      </w:r>
    </w:p>
    <w:tbl>
      <w:tblPr>
        <w:tblW w:w="6688" w:type="dxa"/>
        <w:jc w:val="center"/>
        <w:tblLayout w:type="fixed"/>
        <w:tblCellMar>
          <w:left w:w="70" w:type="dxa"/>
          <w:right w:w="70" w:type="dxa"/>
        </w:tblCellMar>
        <w:tblLook w:val="04A0" w:firstRow="1" w:lastRow="0" w:firstColumn="1" w:lastColumn="0" w:noHBand="0" w:noVBand="1"/>
      </w:tblPr>
      <w:tblGrid>
        <w:gridCol w:w="3164"/>
        <w:gridCol w:w="861"/>
        <w:gridCol w:w="861"/>
        <w:gridCol w:w="861"/>
        <w:gridCol w:w="941"/>
      </w:tblGrid>
      <w:tr w:rsidR="00673937" w:rsidRPr="00FC4688" w14:paraId="4E22BD21" w14:textId="5D5A4D27" w:rsidTr="00673937">
        <w:trPr>
          <w:trHeight w:val="264"/>
          <w:jc w:val="center"/>
        </w:trPr>
        <w:tc>
          <w:tcPr>
            <w:tcW w:w="3164" w:type="dxa"/>
            <w:vMerge w:val="restart"/>
            <w:tcBorders>
              <w:top w:val="single" w:sz="8" w:space="0" w:color="auto"/>
              <w:left w:val="single" w:sz="8" w:space="0" w:color="auto"/>
              <w:bottom w:val="single" w:sz="8" w:space="0" w:color="000000"/>
              <w:right w:val="nil"/>
            </w:tcBorders>
            <w:shd w:val="clear" w:color="000000" w:fill="44546A"/>
            <w:noWrap/>
            <w:vAlign w:val="center"/>
            <w:hideMark/>
          </w:tcPr>
          <w:p w14:paraId="58300B4C" w14:textId="77777777" w:rsidR="00673937" w:rsidRPr="00FC4688" w:rsidRDefault="00673937" w:rsidP="004D429B">
            <w:pPr>
              <w:jc w:val="center"/>
              <w:rPr>
                <w:rFonts w:eastAsia="Times New Roman" w:cs="Times New Roman"/>
                <w:b/>
                <w:bCs/>
                <w:color w:val="FFFFFF"/>
                <w:sz w:val="18"/>
                <w:szCs w:val="18"/>
                <w:lang w:eastAsia="es-GT"/>
              </w:rPr>
            </w:pPr>
            <w:r w:rsidRPr="00FC4688">
              <w:rPr>
                <w:rFonts w:eastAsia="Times New Roman" w:cs="Times New Roman"/>
                <w:b/>
                <w:bCs/>
                <w:color w:val="FFFFFF"/>
                <w:sz w:val="18"/>
                <w:szCs w:val="18"/>
                <w:lang w:eastAsia="es-GT"/>
              </w:rPr>
              <w:t>Descripción</w:t>
            </w:r>
          </w:p>
        </w:tc>
        <w:tc>
          <w:tcPr>
            <w:tcW w:w="1722" w:type="dxa"/>
            <w:gridSpan w:val="2"/>
            <w:tcBorders>
              <w:top w:val="single" w:sz="8" w:space="0" w:color="auto"/>
              <w:left w:val="single" w:sz="8" w:space="0" w:color="auto"/>
              <w:bottom w:val="single" w:sz="8" w:space="0" w:color="000000"/>
              <w:right w:val="single" w:sz="8" w:space="0" w:color="auto"/>
            </w:tcBorders>
            <w:shd w:val="clear" w:color="000000" w:fill="44546A"/>
            <w:vAlign w:val="center"/>
            <w:hideMark/>
          </w:tcPr>
          <w:p w14:paraId="7A1933AF" w14:textId="1047AA65" w:rsidR="00673937" w:rsidRPr="006616A5" w:rsidRDefault="00673937" w:rsidP="004D429B">
            <w:pPr>
              <w:jc w:val="center"/>
              <w:rPr>
                <w:rFonts w:eastAsia="Times New Roman" w:cs="Times New Roman"/>
                <w:b/>
                <w:bCs/>
                <w:color w:val="FFFFFF"/>
                <w:sz w:val="18"/>
                <w:szCs w:val="18"/>
                <w:lang w:eastAsia="es-GT"/>
              </w:rPr>
            </w:pPr>
            <w:r w:rsidRPr="006616A5">
              <w:rPr>
                <w:rFonts w:eastAsia="Times New Roman" w:cs="Times New Roman"/>
                <w:b/>
                <w:bCs/>
                <w:color w:val="FFFFFF"/>
                <w:sz w:val="18"/>
                <w:szCs w:val="18"/>
                <w:lang w:eastAsia="es-GT"/>
              </w:rPr>
              <w:t>En millones de Q</w:t>
            </w:r>
          </w:p>
        </w:tc>
        <w:tc>
          <w:tcPr>
            <w:tcW w:w="1802" w:type="dxa"/>
            <w:gridSpan w:val="2"/>
            <w:tcBorders>
              <w:top w:val="single" w:sz="8" w:space="0" w:color="auto"/>
              <w:left w:val="nil"/>
              <w:bottom w:val="single" w:sz="8" w:space="0" w:color="auto"/>
              <w:right w:val="single" w:sz="8" w:space="0" w:color="000000"/>
            </w:tcBorders>
            <w:shd w:val="clear" w:color="000000" w:fill="44546A"/>
            <w:vAlign w:val="center"/>
            <w:hideMark/>
          </w:tcPr>
          <w:p w14:paraId="33E0B23E" w14:textId="77777777" w:rsidR="00673937" w:rsidRPr="006616A5" w:rsidRDefault="00673937" w:rsidP="004D429B">
            <w:pPr>
              <w:jc w:val="center"/>
              <w:rPr>
                <w:rFonts w:eastAsia="Times New Roman" w:cs="Times New Roman"/>
                <w:b/>
                <w:bCs/>
                <w:color w:val="FFFFFF"/>
                <w:sz w:val="18"/>
                <w:szCs w:val="18"/>
                <w:lang w:eastAsia="es-GT"/>
              </w:rPr>
            </w:pPr>
            <w:r w:rsidRPr="006616A5">
              <w:rPr>
                <w:rFonts w:eastAsia="Times New Roman" w:cs="Times New Roman"/>
                <w:b/>
                <w:bCs/>
                <w:color w:val="FFFFFF"/>
                <w:sz w:val="18"/>
                <w:szCs w:val="18"/>
                <w:lang w:eastAsia="es-GT"/>
              </w:rPr>
              <w:t>Variación Interanual</w:t>
            </w:r>
          </w:p>
        </w:tc>
      </w:tr>
      <w:tr w:rsidR="00673937" w:rsidRPr="00FC4688" w14:paraId="52911BCD" w14:textId="3DCB36A8" w:rsidTr="00673937">
        <w:trPr>
          <w:trHeight w:val="264"/>
          <w:jc w:val="center"/>
        </w:trPr>
        <w:tc>
          <w:tcPr>
            <w:tcW w:w="3164" w:type="dxa"/>
            <w:vMerge/>
            <w:tcBorders>
              <w:top w:val="single" w:sz="8" w:space="0" w:color="auto"/>
              <w:left w:val="single" w:sz="8" w:space="0" w:color="auto"/>
              <w:bottom w:val="single" w:sz="8" w:space="0" w:color="000000"/>
              <w:right w:val="nil"/>
            </w:tcBorders>
            <w:vAlign w:val="center"/>
            <w:hideMark/>
          </w:tcPr>
          <w:p w14:paraId="25BE7534" w14:textId="77777777" w:rsidR="00673937" w:rsidRPr="00FC4688" w:rsidRDefault="00673937" w:rsidP="006616A5">
            <w:pPr>
              <w:jc w:val="left"/>
              <w:rPr>
                <w:rFonts w:eastAsia="Times New Roman" w:cs="Times New Roman"/>
                <w:b/>
                <w:bCs/>
                <w:color w:val="FFFFFF"/>
                <w:sz w:val="18"/>
                <w:szCs w:val="18"/>
                <w:lang w:eastAsia="es-GT"/>
              </w:rPr>
            </w:pPr>
          </w:p>
        </w:tc>
        <w:tc>
          <w:tcPr>
            <w:tcW w:w="861" w:type="dxa"/>
            <w:tcBorders>
              <w:top w:val="single" w:sz="8" w:space="0" w:color="auto"/>
              <w:left w:val="single" w:sz="8" w:space="0" w:color="auto"/>
              <w:bottom w:val="single" w:sz="8" w:space="0" w:color="000000"/>
              <w:right w:val="single" w:sz="8" w:space="0" w:color="auto"/>
            </w:tcBorders>
            <w:shd w:val="clear" w:color="auto" w:fill="7F7F7F" w:themeFill="text1" w:themeFillTint="80"/>
            <w:vAlign w:val="center"/>
            <w:hideMark/>
          </w:tcPr>
          <w:p w14:paraId="16A31A0B" w14:textId="7493F4EE" w:rsidR="00673937" w:rsidRPr="003E4789" w:rsidRDefault="00673937" w:rsidP="005747F1">
            <w:pPr>
              <w:jc w:val="center"/>
              <w:rPr>
                <w:rFonts w:eastAsia="Times New Roman" w:cs="Times New Roman"/>
                <w:b/>
                <w:bCs/>
                <w:color w:val="FFFFFF" w:themeColor="background1"/>
                <w:sz w:val="18"/>
                <w:szCs w:val="18"/>
                <w:lang w:eastAsia="es-GT"/>
              </w:rPr>
            </w:pPr>
            <w:r w:rsidRPr="003E4789">
              <w:rPr>
                <w:rFonts w:eastAsia="Times New Roman" w:cs="Times New Roman"/>
                <w:b/>
                <w:bCs/>
                <w:color w:val="FFFFFF" w:themeColor="background1"/>
                <w:sz w:val="18"/>
                <w:szCs w:val="18"/>
                <w:lang w:eastAsia="es-GT"/>
              </w:rPr>
              <w:t>202</w:t>
            </w:r>
            <w:r w:rsidR="001C236C">
              <w:rPr>
                <w:rFonts w:eastAsia="Times New Roman" w:cs="Times New Roman"/>
                <w:b/>
                <w:bCs/>
                <w:color w:val="FFFFFF" w:themeColor="background1"/>
                <w:sz w:val="18"/>
                <w:szCs w:val="18"/>
                <w:lang w:eastAsia="es-GT"/>
              </w:rPr>
              <w:t>2</w:t>
            </w:r>
          </w:p>
        </w:tc>
        <w:tc>
          <w:tcPr>
            <w:tcW w:w="861" w:type="dxa"/>
            <w:tcBorders>
              <w:top w:val="single" w:sz="8" w:space="0" w:color="auto"/>
              <w:left w:val="single" w:sz="8" w:space="0" w:color="auto"/>
              <w:bottom w:val="single" w:sz="8" w:space="0" w:color="000000"/>
              <w:right w:val="single" w:sz="8" w:space="0" w:color="auto"/>
            </w:tcBorders>
            <w:shd w:val="clear" w:color="auto" w:fill="7F7F7F" w:themeFill="text1" w:themeFillTint="80"/>
            <w:vAlign w:val="center"/>
            <w:hideMark/>
          </w:tcPr>
          <w:p w14:paraId="0A2ADCC9" w14:textId="00E94957" w:rsidR="00673937" w:rsidRPr="003E4789" w:rsidRDefault="00673937" w:rsidP="005747F1">
            <w:pPr>
              <w:jc w:val="center"/>
              <w:rPr>
                <w:rFonts w:eastAsia="Times New Roman" w:cs="Times New Roman"/>
                <w:b/>
                <w:bCs/>
                <w:color w:val="FFFFFF" w:themeColor="background1"/>
                <w:sz w:val="18"/>
                <w:szCs w:val="18"/>
                <w:lang w:eastAsia="es-GT"/>
              </w:rPr>
            </w:pPr>
            <w:r w:rsidRPr="003E4789">
              <w:rPr>
                <w:rFonts w:eastAsia="Times New Roman" w:cs="Times New Roman"/>
                <w:b/>
                <w:bCs/>
                <w:color w:val="FFFFFF" w:themeColor="background1"/>
                <w:sz w:val="18"/>
                <w:szCs w:val="18"/>
                <w:lang w:eastAsia="es-GT"/>
              </w:rPr>
              <w:t>202</w:t>
            </w:r>
            <w:r w:rsidR="001C236C">
              <w:rPr>
                <w:rFonts w:eastAsia="Times New Roman" w:cs="Times New Roman"/>
                <w:b/>
                <w:bCs/>
                <w:color w:val="FFFFFF" w:themeColor="background1"/>
                <w:sz w:val="18"/>
                <w:szCs w:val="18"/>
                <w:lang w:eastAsia="es-GT"/>
              </w:rPr>
              <w:t>3</w:t>
            </w:r>
            <w:r w:rsidRPr="003E4789">
              <w:rPr>
                <w:rFonts w:eastAsia="Times New Roman" w:cs="Times New Roman"/>
                <w:b/>
                <w:bCs/>
                <w:color w:val="FFFFFF" w:themeColor="background1"/>
                <w:sz w:val="18"/>
                <w:szCs w:val="18"/>
                <w:lang w:eastAsia="es-GT"/>
              </w:rPr>
              <w:t>*</w:t>
            </w:r>
          </w:p>
        </w:tc>
        <w:tc>
          <w:tcPr>
            <w:tcW w:w="861" w:type="dxa"/>
            <w:tcBorders>
              <w:top w:val="nil"/>
              <w:left w:val="nil"/>
              <w:bottom w:val="single" w:sz="8" w:space="0" w:color="auto"/>
              <w:right w:val="single" w:sz="8" w:space="0" w:color="auto"/>
            </w:tcBorders>
            <w:shd w:val="clear" w:color="auto" w:fill="808080" w:themeFill="background1" w:themeFillShade="80"/>
            <w:vAlign w:val="center"/>
            <w:hideMark/>
          </w:tcPr>
          <w:p w14:paraId="2964B4C2" w14:textId="77777777" w:rsidR="00673937" w:rsidRPr="00FC4688" w:rsidRDefault="00673937" w:rsidP="005747F1">
            <w:pPr>
              <w:jc w:val="center"/>
              <w:rPr>
                <w:rFonts w:eastAsia="Times New Roman" w:cs="Times New Roman"/>
                <w:b/>
                <w:bCs/>
                <w:color w:val="FFFFFF"/>
                <w:sz w:val="18"/>
                <w:szCs w:val="18"/>
                <w:lang w:eastAsia="es-GT"/>
              </w:rPr>
            </w:pPr>
            <w:r w:rsidRPr="00FC4688">
              <w:rPr>
                <w:rFonts w:eastAsia="Times New Roman" w:cs="Times New Roman"/>
                <w:b/>
                <w:bCs/>
                <w:color w:val="FFFFFF"/>
                <w:sz w:val="18"/>
                <w:szCs w:val="18"/>
                <w:lang w:eastAsia="es-GT"/>
              </w:rPr>
              <w:t>Absoluta</w:t>
            </w:r>
          </w:p>
        </w:tc>
        <w:tc>
          <w:tcPr>
            <w:tcW w:w="941" w:type="dxa"/>
            <w:tcBorders>
              <w:top w:val="nil"/>
              <w:left w:val="nil"/>
              <w:bottom w:val="single" w:sz="8" w:space="0" w:color="auto"/>
              <w:right w:val="single" w:sz="8" w:space="0" w:color="auto"/>
            </w:tcBorders>
            <w:shd w:val="clear" w:color="auto" w:fill="808080" w:themeFill="background1" w:themeFillShade="80"/>
            <w:vAlign w:val="center"/>
            <w:hideMark/>
          </w:tcPr>
          <w:p w14:paraId="177730A0" w14:textId="77777777" w:rsidR="00673937" w:rsidRPr="00FC4688" w:rsidRDefault="00673937" w:rsidP="005747F1">
            <w:pPr>
              <w:jc w:val="center"/>
              <w:rPr>
                <w:rFonts w:eastAsia="Times New Roman" w:cs="Times New Roman"/>
                <w:b/>
                <w:bCs/>
                <w:color w:val="FFFFFF"/>
                <w:sz w:val="18"/>
                <w:szCs w:val="18"/>
                <w:lang w:eastAsia="es-GT"/>
              </w:rPr>
            </w:pPr>
            <w:r w:rsidRPr="00FC4688">
              <w:rPr>
                <w:rFonts w:eastAsia="Times New Roman" w:cs="Times New Roman"/>
                <w:b/>
                <w:bCs/>
                <w:color w:val="FFFFFF"/>
                <w:sz w:val="18"/>
                <w:szCs w:val="18"/>
                <w:lang w:eastAsia="es-GT"/>
              </w:rPr>
              <w:t>Relativa</w:t>
            </w:r>
          </w:p>
        </w:tc>
      </w:tr>
      <w:tr w:rsidR="00A74063" w:rsidRPr="00FC4688" w14:paraId="331C0894" w14:textId="3915E4C5" w:rsidTr="00F14605">
        <w:trPr>
          <w:trHeight w:val="252"/>
          <w:jc w:val="center"/>
        </w:trPr>
        <w:tc>
          <w:tcPr>
            <w:tcW w:w="3164" w:type="dxa"/>
            <w:tcBorders>
              <w:top w:val="nil"/>
              <w:left w:val="nil"/>
              <w:bottom w:val="nil"/>
              <w:right w:val="nil"/>
            </w:tcBorders>
            <w:shd w:val="clear" w:color="auto" w:fill="auto"/>
            <w:noWrap/>
            <w:vAlign w:val="center"/>
            <w:hideMark/>
          </w:tcPr>
          <w:p w14:paraId="23E471B9" w14:textId="77777777" w:rsidR="00A74063" w:rsidRPr="00312323" w:rsidRDefault="00A74063" w:rsidP="00A74063">
            <w:pPr>
              <w:rPr>
                <w:rFonts w:eastAsia="Times New Roman" w:cs="Times New Roman"/>
                <w:b/>
                <w:bCs/>
                <w:color w:val="000000"/>
                <w:sz w:val="16"/>
                <w:szCs w:val="16"/>
                <w:lang w:eastAsia="es-GT"/>
              </w:rPr>
            </w:pPr>
            <w:r w:rsidRPr="00312323">
              <w:rPr>
                <w:rFonts w:eastAsia="Times New Roman" w:cs="Times New Roman"/>
                <w:b/>
                <w:bCs/>
                <w:color w:val="000000"/>
                <w:sz w:val="16"/>
                <w:szCs w:val="16"/>
                <w:lang w:eastAsia="es-GT"/>
              </w:rPr>
              <w:t>INGRESO</w:t>
            </w:r>
          </w:p>
        </w:tc>
        <w:tc>
          <w:tcPr>
            <w:tcW w:w="861" w:type="dxa"/>
            <w:tcBorders>
              <w:top w:val="nil"/>
              <w:left w:val="nil"/>
              <w:bottom w:val="nil"/>
              <w:right w:val="nil"/>
            </w:tcBorders>
            <w:shd w:val="clear" w:color="auto" w:fill="auto"/>
            <w:noWrap/>
            <w:vAlign w:val="center"/>
            <w:hideMark/>
          </w:tcPr>
          <w:p w14:paraId="0DEB8F6A" w14:textId="601F2839" w:rsidR="00A74063" w:rsidRPr="00A74063" w:rsidRDefault="00A74063" w:rsidP="00A74063">
            <w:pPr>
              <w:jc w:val="center"/>
              <w:rPr>
                <w:rFonts w:eastAsia="Times New Roman" w:cs="Times New Roman"/>
                <w:b/>
                <w:bCs/>
                <w:color w:val="000000"/>
                <w:sz w:val="16"/>
                <w:szCs w:val="16"/>
                <w:lang w:eastAsia="es-GT"/>
              </w:rPr>
            </w:pPr>
            <w:r w:rsidRPr="00A74063">
              <w:rPr>
                <w:b/>
                <w:bCs/>
                <w:color w:val="000000"/>
                <w:sz w:val="16"/>
                <w:szCs w:val="16"/>
              </w:rPr>
              <w:t>22,267.9</w:t>
            </w:r>
          </w:p>
        </w:tc>
        <w:tc>
          <w:tcPr>
            <w:tcW w:w="861" w:type="dxa"/>
            <w:tcBorders>
              <w:top w:val="nil"/>
              <w:left w:val="nil"/>
              <w:bottom w:val="nil"/>
              <w:right w:val="nil"/>
            </w:tcBorders>
            <w:shd w:val="clear" w:color="auto" w:fill="auto"/>
            <w:noWrap/>
            <w:vAlign w:val="center"/>
            <w:hideMark/>
          </w:tcPr>
          <w:p w14:paraId="20E99ABE" w14:textId="720ACE04" w:rsidR="00A74063" w:rsidRPr="00A74063" w:rsidRDefault="00A74063" w:rsidP="00A74063">
            <w:pPr>
              <w:jc w:val="center"/>
              <w:rPr>
                <w:rFonts w:eastAsia="Times New Roman" w:cs="Times New Roman"/>
                <w:b/>
                <w:bCs/>
                <w:color w:val="000000"/>
                <w:sz w:val="16"/>
                <w:szCs w:val="16"/>
                <w:lang w:eastAsia="es-GT"/>
              </w:rPr>
            </w:pPr>
            <w:r w:rsidRPr="00A74063">
              <w:rPr>
                <w:b/>
                <w:bCs/>
                <w:color w:val="000000"/>
                <w:sz w:val="16"/>
                <w:szCs w:val="16"/>
              </w:rPr>
              <w:t>24,911.1</w:t>
            </w:r>
          </w:p>
        </w:tc>
        <w:tc>
          <w:tcPr>
            <w:tcW w:w="861" w:type="dxa"/>
            <w:tcBorders>
              <w:top w:val="nil"/>
              <w:left w:val="dotDash" w:sz="4" w:space="0" w:color="auto"/>
              <w:bottom w:val="nil"/>
              <w:right w:val="nil"/>
            </w:tcBorders>
            <w:shd w:val="clear" w:color="auto" w:fill="auto"/>
            <w:noWrap/>
            <w:vAlign w:val="center"/>
            <w:hideMark/>
          </w:tcPr>
          <w:p w14:paraId="3CE23E92" w14:textId="2A2D740E" w:rsidR="00A74063" w:rsidRPr="00A74063" w:rsidRDefault="00A74063" w:rsidP="00A74063">
            <w:pPr>
              <w:jc w:val="center"/>
              <w:rPr>
                <w:rFonts w:eastAsia="Times New Roman" w:cs="Times New Roman"/>
                <w:b/>
                <w:bCs/>
                <w:color w:val="000000"/>
                <w:sz w:val="16"/>
                <w:szCs w:val="16"/>
                <w:lang w:eastAsia="es-GT"/>
              </w:rPr>
            </w:pPr>
            <w:r w:rsidRPr="00A74063">
              <w:rPr>
                <w:b/>
                <w:bCs/>
                <w:color w:val="000000"/>
                <w:sz w:val="16"/>
                <w:szCs w:val="16"/>
              </w:rPr>
              <w:t>2,643.1</w:t>
            </w:r>
          </w:p>
        </w:tc>
        <w:tc>
          <w:tcPr>
            <w:tcW w:w="941" w:type="dxa"/>
            <w:tcBorders>
              <w:top w:val="nil"/>
              <w:left w:val="nil"/>
              <w:bottom w:val="nil"/>
              <w:right w:val="nil"/>
            </w:tcBorders>
            <w:shd w:val="clear" w:color="auto" w:fill="auto"/>
            <w:noWrap/>
            <w:vAlign w:val="center"/>
            <w:hideMark/>
          </w:tcPr>
          <w:p w14:paraId="4E872ED2" w14:textId="5B242A37" w:rsidR="00A74063" w:rsidRPr="00A74063" w:rsidRDefault="00A74063" w:rsidP="00A74063">
            <w:pPr>
              <w:jc w:val="center"/>
              <w:rPr>
                <w:rFonts w:eastAsia="Times New Roman" w:cs="Times New Roman"/>
                <w:b/>
                <w:bCs/>
                <w:color w:val="000000"/>
                <w:sz w:val="16"/>
                <w:szCs w:val="16"/>
                <w:lang w:eastAsia="es-GT"/>
              </w:rPr>
            </w:pPr>
            <w:r w:rsidRPr="00A74063">
              <w:rPr>
                <w:b/>
                <w:bCs/>
                <w:color w:val="000000"/>
                <w:sz w:val="16"/>
                <w:szCs w:val="16"/>
              </w:rPr>
              <w:t>11.9</w:t>
            </w:r>
          </w:p>
        </w:tc>
      </w:tr>
      <w:tr w:rsidR="00A74063" w:rsidRPr="00FC4688" w14:paraId="3458F854" w14:textId="5B23C4AF" w:rsidTr="00F14605">
        <w:trPr>
          <w:trHeight w:val="252"/>
          <w:jc w:val="center"/>
        </w:trPr>
        <w:tc>
          <w:tcPr>
            <w:tcW w:w="3164" w:type="dxa"/>
            <w:tcBorders>
              <w:top w:val="nil"/>
              <w:left w:val="nil"/>
              <w:bottom w:val="nil"/>
              <w:right w:val="nil"/>
            </w:tcBorders>
            <w:shd w:val="clear" w:color="auto" w:fill="auto"/>
            <w:noWrap/>
            <w:vAlign w:val="center"/>
            <w:hideMark/>
          </w:tcPr>
          <w:p w14:paraId="5581EAE2" w14:textId="77777777" w:rsidR="00A74063" w:rsidRPr="00FC4688" w:rsidRDefault="00A74063" w:rsidP="00A74063">
            <w:pPr>
              <w:ind w:firstLineChars="100" w:firstLine="160"/>
              <w:jc w:val="left"/>
              <w:rPr>
                <w:rFonts w:eastAsia="Times New Roman" w:cs="Times New Roman"/>
                <w:color w:val="000000"/>
                <w:sz w:val="16"/>
                <w:szCs w:val="16"/>
                <w:lang w:eastAsia="es-GT"/>
              </w:rPr>
            </w:pPr>
            <w:r w:rsidRPr="00FC4688">
              <w:rPr>
                <w:rFonts w:eastAsia="Times New Roman" w:cs="Times New Roman"/>
                <w:color w:val="000000"/>
                <w:sz w:val="16"/>
                <w:szCs w:val="16"/>
                <w:lang w:eastAsia="es-GT"/>
              </w:rPr>
              <w:t>Impuestos</w:t>
            </w:r>
          </w:p>
        </w:tc>
        <w:tc>
          <w:tcPr>
            <w:tcW w:w="861" w:type="dxa"/>
            <w:tcBorders>
              <w:top w:val="nil"/>
              <w:left w:val="nil"/>
              <w:bottom w:val="nil"/>
              <w:right w:val="nil"/>
            </w:tcBorders>
            <w:shd w:val="clear" w:color="auto" w:fill="auto"/>
            <w:noWrap/>
            <w:vAlign w:val="center"/>
            <w:hideMark/>
          </w:tcPr>
          <w:p w14:paraId="741CC720" w14:textId="2CDFF0DE"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20,436.1</w:t>
            </w:r>
          </w:p>
        </w:tc>
        <w:tc>
          <w:tcPr>
            <w:tcW w:w="861" w:type="dxa"/>
            <w:tcBorders>
              <w:top w:val="nil"/>
              <w:left w:val="nil"/>
              <w:bottom w:val="nil"/>
              <w:right w:val="nil"/>
            </w:tcBorders>
            <w:shd w:val="clear" w:color="auto" w:fill="auto"/>
            <w:noWrap/>
            <w:vAlign w:val="center"/>
            <w:hideMark/>
          </w:tcPr>
          <w:p w14:paraId="0F100D77" w14:textId="6F3332CD"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22,724.6</w:t>
            </w:r>
          </w:p>
        </w:tc>
        <w:tc>
          <w:tcPr>
            <w:tcW w:w="861" w:type="dxa"/>
            <w:tcBorders>
              <w:top w:val="nil"/>
              <w:left w:val="dotDash" w:sz="4" w:space="0" w:color="auto"/>
              <w:bottom w:val="nil"/>
              <w:right w:val="nil"/>
            </w:tcBorders>
            <w:shd w:val="clear" w:color="auto" w:fill="auto"/>
            <w:noWrap/>
            <w:vAlign w:val="center"/>
            <w:hideMark/>
          </w:tcPr>
          <w:p w14:paraId="75E14500" w14:textId="5E4FD138"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2,288.6</w:t>
            </w:r>
          </w:p>
        </w:tc>
        <w:tc>
          <w:tcPr>
            <w:tcW w:w="941" w:type="dxa"/>
            <w:tcBorders>
              <w:top w:val="nil"/>
              <w:left w:val="nil"/>
              <w:bottom w:val="nil"/>
              <w:right w:val="nil"/>
            </w:tcBorders>
            <w:shd w:val="clear" w:color="auto" w:fill="auto"/>
            <w:noWrap/>
            <w:vAlign w:val="center"/>
            <w:hideMark/>
          </w:tcPr>
          <w:p w14:paraId="5E2108BC" w14:textId="04DFFA41"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11.2</w:t>
            </w:r>
          </w:p>
        </w:tc>
      </w:tr>
      <w:tr w:rsidR="00A74063" w:rsidRPr="00FC4688" w14:paraId="0933DA23" w14:textId="673BBB5D" w:rsidTr="00F14605">
        <w:trPr>
          <w:trHeight w:val="252"/>
          <w:jc w:val="center"/>
        </w:trPr>
        <w:tc>
          <w:tcPr>
            <w:tcW w:w="3164" w:type="dxa"/>
            <w:tcBorders>
              <w:top w:val="nil"/>
              <w:left w:val="nil"/>
              <w:bottom w:val="nil"/>
              <w:right w:val="nil"/>
            </w:tcBorders>
            <w:shd w:val="clear" w:color="auto" w:fill="auto"/>
            <w:noWrap/>
            <w:vAlign w:val="center"/>
            <w:hideMark/>
          </w:tcPr>
          <w:p w14:paraId="543B74CC" w14:textId="77777777" w:rsidR="00A74063" w:rsidRPr="00FC4688" w:rsidRDefault="00A74063" w:rsidP="00A74063">
            <w:pPr>
              <w:ind w:firstLineChars="100" w:firstLine="160"/>
              <w:jc w:val="left"/>
              <w:rPr>
                <w:rFonts w:eastAsia="Times New Roman" w:cs="Times New Roman"/>
                <w:color w:val="000000"/>
                <w:sz w:val="16"/>
                <w:szCs w:val="16"/>
                <w:lang w:eastAsia="es-GT"/>
              </w:rPr>
            </w:pPr>
            <w:r w:rsidRPr="00FC4688">
              <w:rPr>
                <w:rFonts w:eastAsia="Times New Roman" w:cs="Times New Roman"/>
                <w:color w:val="000000"/>
                <w:sz w:val="16"/>
                <w:szCs w:val="16"/>
                <w:lang w:eastAsia="es-GT"/>
              </w:rPr>
              <w:t xml:space="preserve">Contribuciones sociales </w:t>
            </w:r>
          </w:p>
        </w:tc>
        <w:tc>
          <w:tcPr>
            <w:tcW w:w="861" w:type="dxa"/>
            <w:tcBorders>
              <w:top w:val="nil"/>
              <w:left w:val="nil"/>
              <w:bottom w:val="nil"/>
              <w:right w:val="nil"/>
            </w:tcBorders>
            <w:shd w:val="clear" w:color="auto" w:fill="auto"/>
            <w:noWrap/>
            <w:vAlign w:val="center"/>
            <w:hideMark/>
          </w:tcPr>
          <w:p w14:paraId="07FC9E7D" w14:textId="7D5EF008"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1,166.5</w:t>
            </w:r>
          </w:p>
        </w:tc>
        <w:tc>
          <w:tcPr>
            <w:tcW w:w="861" w:type="dxa"/>
            <w:tcBorders>
              <w:top w:val="nil"/>
              <w:left w:val="nil"/>
              <w:bottom w:val="nil"/>
              <w:right w:val="nil"/>
            </w:tcBorders>
            <w:shd w:val="clear" w:color="auto" w:fill="auto"/>
            <w:noWrap/>
            <w:vAlign w:val="center"/>
            <w:hideMark/>
          </w:tcPr>
          <w:p w14:paraId="0158D5DD" w14:textId="20B42470"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1,343.8</w:t>
            </w:r>
          </w:p>
        </w:tc>
        <w:tc>
          <w:tcPr>
            <w:tcW w:w="861" w:type="dxa"/>
            <w:tcBorders>
              <w:top w:val="nil"/>
              <w:left w:val="dotDash" w:sz="4" w:space="0" w:color="auto"/>
              <w:bottom w:val="nil"/>
              <w:right w:val="nil"/>
            </w:tcBorders>
            <w:shd w:val="clear" w:color="auto" w:fill="auto"/>
            <w:noWrap/>
            <w:vAlign w:val="center"/>
            <w:hideMark/>
          </w:tcPr>
          <w:p w14:paraId="48113875" w14:textId="5E520020"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177.3</w:t>
            </w:r>
          </w:p>
        </w:tc>
        <w:tc>
          <w:tcPr>
            <w:tcW w:w="941" w:type="dxa"/>
            <w:tcBorders>
              <w:top w:val="nil"/>
              <w:left w:val="nil"/>
              <w:bottom w:val="nil"/>
              <w:right w:val="nil"/>
            </w:tcBorders>
            <w:shd w:val="clear" w:color="auto" w:fill="auto"/>
            <w:noWrap/>
            <w:vAlign w:val="center"/>
            <w:hideMark/>
          </w:tcPr>
          <w:p w14:paraId="57AFAAAF" w14:textId="296FE07F"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15.2</w:t>
            </w:r>
          </w:p>
        </w:tc>
      </w:tr>
      <w:tr w:rsidR="00A74063" w:rsidRPr="00FC4688" w14:paraId="51764967" w14:textId="622D0A0B" w:rsidTr="00F14605">
        <w:trPr>
          <w:trHeight w:val="252"/>
          <w:jc w:val="center"/>
        </w:trPr>
        <w:tc>
          <w:tcPr>
            <w:tcW w:w="3164" w:type="dxa"/>
            <w:tcBorders>
              <w:top w:val="nil"/>
              <w:left w:val="nil"/>
              <w:bottom w:val="nil"/>
              <w:right w:val="nil"/>
            </w:tcBorders>
            <w:shd w:val="clear" w:color="auto" w:fill="auto"/>
            <w:noWrap/>
            <w:vAlign w:val="center"/>
            <w:hideMark/>
          </w:tcPr>
          <w:p w14:paraId="25442D09" w14:textId="77777777" w:rsidR="00A74063" w:rsidRPr="00FC4688" w:rsidRDefault="00A74063" w:rsidP="00A74063">
            <w:pPr>
              <w:ind w:firstLineChars="100" w:firstLine="160"/>
              <w:jc w:val="left"/>
              <w:rPr>
                <w:rFonts w:eastAsia="Times New Roman" w:cs="Times New Roman"/>
                <w:color w:val="000000"/>
                <w:sz w:val="16"/>
                <w:szCs w:val="16"/>
                <w:lang w:eastAsia="es-GT"/>
              </w:rPr>
            </w:pPr>
            <w:r w:rsidRPr="00FC4688">
              <w:rPr>
                <w:rFonts w:eastAsia="Times New Roman" w:cs="Times New Roman"/>
                <w:color w:val="000000"/>
                <w:sz w:val="16"/>
                <w:szCs w:val="16"/>
                <w:lang w:eastAsia="es-GT"/>
              </w:rPr>
              <w:t>Donaciones</w:t>
            </w:r>
          </w:p>
        </w:tc>
        <w:tc>
          <w:tcPr>
            <w:tcW w:w="861" w:type="dxa"/>
            <w:tcBorders>
              <w:top w:val="nil"/>
              <w:left w:val="nil"/>
              <w:bottom w:val="nil"/>
              <w:right w:val="nil"/>
            </w:tcBorders>
            <w:shd w:val="clear" w:color="auto" w:fill="auto"/>
            <w:noWrap/>
            <w:vAlign w:val="center"/>
            <w:hideMark/>
          </w:tcPr>
          <w:p w14:paraId="43806E36" w14:textId="6FC6239F"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4.2</w:t>
            </w:r>
          </w:p>
        </w:tc>
        <w:tc>
          <w:tcPr>
            <w:tcW w:w="861" w:type="dxa"/>
            <w:tcBorders>
              <w:top w:val="nil"/>
              <w:left w:val="nil"/>
              <w:bottom w:val="nil"/>
              <w:right w:val="nil"/>
            </w:tcBorders>
            <w:shd w:val="clear" w:color="auto" w:fill="auto"/>
            <w:noWrap/>
            <w:vAlign w:val="center"/>
            <w:hideMark/>
          </w:tcPr>
          <w:p w14:paraId="3110F372" w14:textId="1666D63E"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3.9</w:t>
            </w:r>
          </w:p>
        </w:tc>
        <w:tc>
          <w:tcPr>
            <w:tcW w:w="861" w:type="dxa"/>
            <w:tcBorders>
              <w:top w:val="nil"/>
              <w:left w:val="dotDash" w:sz="4" w:space="0" w:color="auto"/>
              <w:bottom w:val="nil"/>
              <w:right w:val="nil"/>
            </w:tcBorders>
            <w:shd w:val="clear" w:color="auto" w:fill="auto"/>
            <w:noWrap/>
            <w:vAlign w:val="center"/>
            <w:hideMark/>
          </w:tcPr>
          <w:p w14:paraId="7258307B" w14:textId="6299BC3F"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-0.3</w:t>
            </w:r>
          </w:p>
        </w:tc>
        <w:tc>
          <w:tcPr>
            <w:tcW w:w="941" w:type="dxa"/>
            <w:tcBorders>
              <w:top w:val="nil"/>
              <w:left w:val="nil"/>
              <w:bottom w:val="nil"/>
              <w:right w:val="nil"/>
            </w:tcBorders>
            <w:shd w:val="clear" w:color="auto" w:fill="auto"/>
            <w:noWrap/>
            <w:vAlign w:val="center"/>
            <w:hideMark/>
          </w:tcPr>
          <w:p w14:paraId="3C48D73E" w14:textId="746170D5"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-7.9</w:t>
            </w:r>
          </w:p>
        </w:tc>
      </w:tr>
      <w:tr w:rsidR="00A74063" w:rsidRPr="00FC4688" w14:paraId="28085D07" w14:textId="61247121" w:rsidTr="00F14605">
        <w:trPr>
          <w:trHeight w:val="252"/>
          <w:jc w:val="center"/>
        </w:trPr>
        <w:tc>
          <w:tcPr>
            <w:tcW w:w="3164" w:type="dxa"/>
            <w:tcBorders>
              <w:top w:val="nil"/>
              <w:left w:val="nil"/>
              <w:bottom w:val="nil"/>
              <w:right w:val="nil"/>
            </w:tcBorders>
            <w:shd w:val="clear" w:color="auto" w:fill="auto"/>
            <w:noWrap/>
            <w:vAlign w:val="center"/>
            <w:hideMark/>
          </w:tcPr>
          <w:p w14:paraId="41EAD321" w14:textId="77777777" w:rsidR="00A74063" w:rsidRPr="00FC4688" w:rsidRDefault="00A74063" w:rsidP="00A74063">
            <w:pPr>
              <w:ind w:firstLineChars="100" w:firstLine="160"/>
              <w:jc w:val="left"/>
              <w:rPr>
                <w:rFonts w:eastAsia="Times New Roman" w:cs="Times New Roman"/>
                <w:color w:val="000000"/>
                <w:sz w:val="16"/>
                <w:szCs w:val="16"/>
                <w:lang w:eastAsia="es-GT"/>
              </w:rPr>
            </w:pPr>
            <w:r w:rsidRPr="00FC4688">
              <w:rPr>
                <w:rFonts w:eastAsia="Times New Roman" w:cs="Times New Roman"/>
                <w:color w:val="000000"/>
                <w:sz w:val="16"/>
                <w:szCs w:val="16"/>
                <w:lang w:eastAsia="es-GT"/>
              </w:rPr>
              <w:t xml:space="preserve">Otros ingresos </w:t>
            </w:r>
          </w:p>
        </w:tc>
        <w:tc>
          <w:tcPr>
            <w:tcW w:w="861" w:type="dxa"/>
            <w:tcBorders>
              <w:top w:val="nil"/>
              <w:left w:val="nil"/>
              <w:bottom w:val="nil"/>
              <w:right w:val="nil"/>
            </w:tcBorders>
            <w:shd w:val="clear" w:color="auto" w:fill="auto"/>
            <w:noWrap/>
            <w:vAlign w:val="center"/>
            <w:hideMark/>
          </w:tcPr>
          <w:p w14:paraId="68B2633D" w14:textId="0200DD7D"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661.1</w:t>
            </w:r>
          </w:p>
        </w:tc>
        <w:tc>
          <w:tcPr>
            <w:tcW w:w="861" w:type="dxa"/>
            <w:tcBorders>
              <w:top w:val="nil"/>
              <w:left w:val="nil"/>
              <w:bottom w:val="nil"/>
              <w:right w:val="nil"/>
            </w:tcBorders>
            <w:shd w:val="clear" w:color="auto" w:fill="auto"/>
            <w:noWrap/>
            <w:vAlign w:val="center"/>
            <w:hideMark/>
          </w:tcPr>
          <w:p w14:paraId="1E961B97" w14:textId="3831B7BC"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838.8</w:t>
            </w:r>
          </w:p>
        </w:tc>
        <w:tc>
          <w:tcPr>
            <w:tcW w:w="861" w:type="dxa"/>
            <w:tcBorders>
              <w:top w:val="nil"/>
              <w:left w:val="dotDash" w:sz="4" w:space="0" w:color="auto"/>
              <w:bottom w:val="nil"/>
              <w:right w:val="nil"/>
            </w:tcBorders>
            <w:shd w:val="clear" w:color="auto" w:fill="auto"/>
            <w:noWrap/>
            <w:vAlign w:val="center"/>
            <w:hideMark/>
          </w:tcPr>
          <w:p w14:paraId="7FAD3011" w14:textId="6C62A8FD"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177.6</w:t>
            </w:r>
          </w:p>
        </w:tc>
        <w:tc>
          <w:tcPr>
            <w:tcW w:w="941" w:type="dxa"/>
            <w:tcBorders>
              <w:top w:val="nil"/>
              <w:left w:val="nil"/>
              <w:bottom w:val="nil"/>
              <w:right w:val="nil"/>
            </w:tcBorders>
            <w:shd w:val="clear" w:color="auto" w:fill="auto"/>
            <w:noWrap/>
            <w:vAlign w:val="center"/>
            <w:hideMark/>
          </w:tcPr>
          <w:p w14:paraId="3219EF91" w14:textId="4EF8C041"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26.9</w:t>
            </w:r>
          </w:p>
        </w:tc>
      </w:tr>
      <w:tr w:rsidR="00A74063" w:rsidRPr="00FC4688" w14:paraId="10FB4E84" w14:textId="34D575C0" w:rsidTr="00F14605">
        <w:trPr>
          <w:trHeight w:val="252"/>
          <w:jc w:val="center"/>
        </w:trPr>
        <w:tc>
          <w:tcPr>
            <w:tcW w:w="3164" w:type="dxa"/>
            <w:tcBorders>
              <w:top w:val="nil"/>
              <w:left w:val="nil"/>
              <w:bottom w:val="nil"/>
              <w:right w:val="nil"/>
            </w:tcBorders>
            <w:shd w:val="clear" w:color="auto" w:fill="auto"/>
            <w:noWrap/>
            <w:vAlign w:val="center"/>
            <w:hideMark/>
          </w:tcPr>
          <w:p w14:paraId="63E596BB" w14:textId="77777777" w:rsidR="00A74063" w:rsidRPr="00FC4688" w:rsidRDefault="00A74063" w:rsidP="00A74063">
            <w:pPr>
              <w:rPr>
                <w:rFonts w:eastAsia="Times New Roman" w:cs="Times New Roman"/>
                <w:b/>
                <w:bCs/>
                <w:color w:val="000000"/>
                <w:sz w:val="16"/>
                <w:szCs w:val="16"/>
                <w:lang w:eastAsia="es-GT"/>
              </w:rPr>
            </w:pPr>
            <w:r w:rsidRPr="00FC4688">
              <w:rPr>
                <w:rFonts w:eastAsia="Times New Roman" w:cs="Times New Roman"/>
                <w:b/>
                <w:bCs/>
                <w:color w:val="000000"/>
                <w:sz w:val="16"/>
                <w:szCs w:val="16"/>
                <w:lang w:eastAsia="es-GT"/>
              </w:rPr>
              <w:t>GASTO</w:t>
            </w:r>
          </w:p>
        </w:tc>
        <w:tc>
          <w:tcPr>
            <w:tcW w:w="861" w:type="dxa"/>
            <w:tcBorders>
              <w:top w:val="nil"/>
              <w:left w:val="nil"/>
              <w:bottom w:val="nil"/>
              <w:right w:val="nil"/>
            </w:tcBorders>
            <w:shd w:val="clear" w:color="auto" w:fill="auto"/>
            <w:noWrap/>
            <w:vAlign w:val="center"/>
            <w:hideMark/>
          </w:tcPr>
          <w:p w14:paraId="79D45ED2" w14:textId="3208831E" w:rsidR="00A74063" w:rsidRPr="00A74063" w:rsidRDefault="00A74063" w:rsidP="00A74063">
            <w:pPr>
              <w:jc w:val="center"/>
              <w:rPr>
                <w:rFonts w:eastAsia="Times New Roman" w:cs="Times New Roman"/>
                <w:b/>
                <w:bCs/>
                <w:color w:val="000000"/>
                <w:sz w:val="16"/>
                <w:szCs w:val="16"/>
                <w:lang w:eastAsia="es-GT"/>
              </w:rPr>
            </w:pPr>
            <w:r w:rsidRPr="00A74063">
              <w:rPr>
                <w:b/>
                <w:bCs/>
                <w:color w:val="000000"/>
                <w:sz w:val="16"/>
                <w:szCs w:val="16"/>
              </w:rPr>
              <w:t>20,273.5</w:t>
            </w:r>
          </w:p>
        </w:tc>
        <w:tc>
          <w:tcPr>
            <w:tcW w:w="861" w:type="dxa"/>
            <w:tcBorders>
              <w:top w:val="nil"/>
              <w:left w:val="nil"/>
              <w:bottom w:val="nil"/>
              <w:right w:val="nil"/>
            </w:tcBorders>
            <w:shd w:val="clear" w:color="auto" w:fill="auto"/>
            <w:noWrap/>
            <w:vAlign w:val="center"/>
            <w:hideMark/>
          </w:tcPr>
          <w:p w14:paraId="634684CA" w14:textId="51146108" w:rsidR="00A74063" w:rsidRPr="00A74063" w:rsidRDefault="00A74063" w:rsidP="00A74063">
            <w:pPr>
              <w:jc w:val="center"/>
              <w:rPr>
                <w:rFonts w:eastAsia="Times New Roman" w:cs="Times New Roman"/>
                <w:b/>
                <w:bCs/>
                <w:color w:val="000000"/>
                <w:sz w:val="16"/>
                <w:szCs w:val="16"/>
                <w:lang w:eastAsia="es-GT"/>
              </w:rPr>
            </w:pPr>
            <w:r w:rsidRPr="00A74063">
              <w:rPr>
                <w:b/>
                <w:bCs/>
                <w:color w:val="000000"/>
                <w:sz w:val="16"/>
                <w:szCs w:val="16"/>
              </w:rPr>
              <w:t>23,863.1</w:t>
            </w:r>
          </w:p>
        </w:tc>
        <w:tc>
          <w:tcPr>
            <w:tcW w:w="861" w:type="dxa"/>
            <w:tcBorders>
              <w:top w:val="nil"/>
              <w:left w:val="dotDash" w:sz="4" w:space="0" w:color="auto"/>
              <w:bottom w:val="nil"/>
              <w:right w:val="nil"/>
            </w:tcBorders>
            <w:shd w:val="clear" w:color="auto" w:fill="auto"/>
            <w:noWrap/>
            <w:vAlign w:val="center"/>
            <w:hideMark/>
          </w:tcPr>
          <w:p w14:paraId="236125CE" w14:textId="18EB1316" w:rsidR="00A74063" w:rsidRPr="00A74063" w:rsidRDefault="00A74063" w:rsidP="00A74063">
            <w:pPr>
              <w:jc w:val="center"/>
              <w:rPr>
                <w:rFonts w:eastAsia="Times New Roman" w:cs="Times New Roman"/>
                <w:b/>
                <w:bCs/>
                <w:color w:val="000000"/>
                <w:sz w:val="16"/>
                <w:szCs w:val="16"/>
                <w:lang w:eastAsia="es-GT"/>
              </w:rPr>
            </w:pPr>
            <w:r w:rsidRPr="00A74063">
              <w:rPr>
                <w:b/>
                <w:bCs/>
                <w:color w:val="000000"/>
                <w:sz w:val="16"/>
                <w:szCs w:val="16"/>
              </w:rPr>
              <w:t>3,589.7</w:t>
            </w:r>
          </w:p>
        </w:tc>
        <w:tc>
          <w:tcPr>
            <w:tcW w:w="941" w:type="dxa"/>
            <w:tcBorders>
              <w:top w:val="nil"/>
              <w:left w:val="nil"/>
              <w:bottom w:val="nil"/>
              <w:right w:val="nil"/>
            </w:tcBorders>
            <w:shd w:val="clear" w:color="auto" w:fill="auto"/>
            <w:noWrap/>
            <w:vAlign w:val="center"/>
            <w:hideMark/>
          </w:tcPr>
          <w:p w14:paraId="60F4234E" w14:textId="1D5B18FF" w:rsidR="00A74063" w:rsidRPr="00A74063" w:rsidRDefault="00A74063" w:rsidP="00A74063">
            <w:pPr>
              <w:jc w:val="center"/>
              <w:rPr>
                <w:rFonts w:eastAsia="Times New Roman" w:cs="Times New Roman"/>
                <w:b/>
                <w:bCs/>
                <w:color w:val="000000"/>
                <w:sz w:val="16"/>
                <w:szCs w:val="16"/>
                <w:lang w:eastAsia="es-GT"/>
              </w:rPr>
            </w:pPr>
            <w:r w:rsidRPr="00A74063">
              <w:rPr>
                <w:b/>
                <w:bCs/>
                <w:color w:val="000000"/>
                <w:sz w:val="16"/>
                <w:szCs w:val="16"/>
              </w:rPr>
              <w:t>17.7</w:t>
            </w:r>
          </w:p>
        </w:tc>
      </w:tr>
      <w:tr w:rsidR="00A74063" w:rsidRPr="00FC4688" w14:paraId="461F9122" w14:textId="73A51B27" w:rsidTr="00F14605">
        <w:trPr>
          <w:trHeight w:val="252"/>
          <w:jc w:val="center"/>
        </w:trPr>
        <w:tc>
          <w:tcPr>
            <w:tcW w:w="3164" w:type="dxa"/>
            <w:tcBorders>
              <w:top w:val="nil"/>
              <w:left w:val="nil"/>
              <w:bottom w:val="nil"/>
              <w:right w:val="nil"/>
            </w:tcBorders>
            <w:shd w:val="clear" w:color="auto" w:fill="auto"/>
            <w:noWrap/>
            <w:vAlign w:val="center"/>
            <w:hideMark/>
          </w:tcPr>
          <w:p w14:paraId="13FFD601" w14:textId="77777777" w:rsidR="00A74063" w:rsidRPr="00FC4688" w:rsidRDefault="00A74063" w:rsidP="00A74063">
            <w:pPr>
              <w:ind w:firstLineChars="100" w:firstLine="160"/>
              <w:jc w:val="left"/>
              <w:rPr>
                <w:rFonts w:eastAsia="Times New Roman" w:cs="Times New Roman"/>
                <w:color w:val="000000"/>
                <w:sz w:val="16"/>
                <w:szCs w:val="16"/>
                <w:lang w:eastAsia="es-GT"/>
              </w:rPr>
            </w:pPr>
            <w:r w:rsidRPr="00FC4688">
              <w:rPr>
                <w:rFonts w:eastAsia="Times New Roman" w:cs="Times New Roman"/>
                <w:color w:val="000000"/>
                <w:sz w:val="16"/>
                <w:szCs w:val="16"/>
                <w:lang w:eastAsia="es-GT"/>
              </w:rPr>
              <w:t xml:space="preserve">Remuneración a los empleados </w:t>
            </w:r>
          </w:p>
        </w:tc>
        <w:tc>
          <w:tcPr>
            <w:tcW w:w="861" w:type="dxa"/>
            <w:tcBorders>
              <w:top w:val="nil"/>
              <w:left w:val="nil"/>
              <w:bottom w:val="nil"/>
              <w:right w:val="nil"/>
            </w:tcBorders>
            <w:shd w:val="clear" w:color="auto" w:fill="auto"/>
            <w:noWrap/>
            <w:vAlign w:val="center"/>
            <w:hideMark/>
          </w:tcPr>
          <w:p w14:paraId="58C192BE" w14:textId="438981AD"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7,439.6</w:t>
            </w:r>
          </w:p>
        </w:tc>
        <w:tc>
          <w:tcPr>
            <w:tcW w:w="861" w:type="dxa"/>
            <w:tcBorders>
              <w:top w:val="nil"/>
              <w:left w:val="nil"/>
              <w:bottom w:val="nil"/>
              <w:right w:val="nil"/>
            </w:tcBorders>
            <w:shd w:val="clear" w:color="auto" w:fill="auto"/>
            <w:noWrap/>
            <w:vAlign w:val="center"/>
            <w:hideMark/>
          </w:tcPr>
          <w:p w14:paraId="15276D93" w14:textId="0597B44F"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8,197.7</w:t>
            </w:r>
          </w:p>
        </w:tc>
        <w:tc>
          <w:tcPr>
            <w:tcW w:w="861" w:type="dxa"/>
            <w:tcBorders>
              <w:top w:val="nil"/>
              <w:left w:val="dotDash" w:sz="4" w:space="0" w:color="auto"/>
              <w:bottom w:val="nil"/>
              <w:right w:val="nil"/>
            </w:tcBorders>
            <w:shd w:val="clear" w:color="auto" w:fill="auto"/>
            <w:noWrap/>
            <w:vAlign w:val="center"/>
            <w:hideMark/>
          </w:tcPr>
          <w:p w14:paraId="24A35F1F" w14:textId="482F1DDF"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758.1</w:t>
            </w:r>
          </w:p>
        </w:tc>
        <w:tc>
          <w:tcPr>
            <w:tcW w:w="941" w:type="dxa"/>
            <w:tcBorders>
              <w:top w:val="nil"/>
              <w:left w:val="nil"/>
              <w:bottom w:val="nil"/>
              <w:right w:val="nil"/>
            </w:tcBorders>
            <w:shd w:val="clear" w:color="auto" w:fill="auto"/>
            <w:noWrap/>
            <w:vAlign w:val="center"/>
            <w:hideMark/>
          </w:tcPr>
          <w:p w14:paraId="2A84DD03" w14:textId="72BFC740"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10.2</w:t>
            </w:r>
          </w:p>
        </w:tc>
      </w:tr>
      <w:tr w:rsidR="00A74063" w:rsidRPr="00FC4688" w14:paraId="763002C0" w14:textId="7834390E" w:rsidTr="00F14605">
        <w:trPr>
          <w:trHeight w:val="252"/>
          <w:jc w:val="center"/>
        </w:trPr>
        <w:tc>
          <w:tcPr>
            <w:tcW w:w="3164" w:type="dxa"/>
            <w:tcBorders>
              <w:top w:val="nil"/>
              <w:left w:val="nil"/>
              <w:bottom w:val="nil"/>
              <w:right w:val="nil"/>
            </w:tcBorders>
            <w:shd w:val="clear" w:color="auto" w:fill="auto"/>
            <w:noWrap/>
            <w:vAlign w:val="center"/>
            <w:hideMark/>
          </w:tcPr>
          <w:p w14:paraId="440FA569" w14:textId="77777777" w:rsidR="00A74063" w:rsidRPr="00FC4688" w:rsidRDefault="00A74063" w:rsidP="00A74063">
            <w:pPr>
              <w:ind w:firstLineChars="100" w:firstLine="160"/>
              <w:jc w:val="left"/>
              <w:rPr>
                <w:rFonts w:eastAsia="Times New Roman" w:cs="Times New Roman"/>
                <w:color w:val="000000"/>
                <w:sz w:val="16"/>
                <w:szCs w:val="16"/>
                <w:lang w:eastAsia="es-GT"/>
              </w:rPr>
            </w:pPr>
            <w:r w:rsidRPr="00FC4688">
              <w:rPr>
                <w:rFonts w:eastAsia="Times New Roman" w:cs="Times New Roman"/>
                <w:color w:val="000000"/>
                <w:sz w:val="16"/>
                <w:szCs w:val="16"/>
                <w:lang w:eastAsia="es-GT"/>
              </w:rPr>
              <w:t xml:space="preserve">Uso de bienes y servicios  </w:t>
            </w:r>
          </w:p>
        </w:tc>
        <w:tc>
          <w:tcPr>
            <w:tcW w:w="861" w:type="dxa"/>
            <w:tcBorders>
              <w:top w:val="nil"/>
              <w:left w:val="nil"/>
              <w:bottom w:val="nil"/>
              <w:right w:val="nil"/>
            </w:tcBorders>
            <w:shd w:val="clear" w:color="auto" w:fill="auto"/>
            <w:noWrap/>
            <w:vAlign w:val="center"/>
            <w:hideMark/>
          </w:tcPr>
          <w:p w14:paraId="274981BE" w14:textId="735DF7EB"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2,481.5</w:t>
            </w:r>
          </w:p>
        </w:tc>
        <w:tc>
          <w:tcPr>
            <w:tcW w:w="861" w:type="dxa"/>
            <w:tcBorders>
              <w:top w:val="nil"/>
              <w:left w:val="nil"/>
              <w:bottom w:val="nil"/>
              <w:right w:val="nil"/>
            </w:tcBorders>
            <w:shd w:val="clear" w:color="auto" w:fill="auto"/>
            <w:noWrap/>
            <w:vAlign w:val="center"/>
            <w:hideMark/>
          </w:tcPr>
          <w:p w14:paraId="4A030C45" w14:textId="5EC7FC2F"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3,404.8</w:t>
            </w:r>
          </w:p>
        </w:tc>
        <w:tc>
          <w:tcPr>
            <w:tcW w:w="861" w:type="dxa"/>
            <w:tcBorders>
              <w:top w:val="nil"/>
              <w:left w:val="dotDash" w:sz="4" w:space="0" w:color="auto"/>
              <w:bottom w:val="nil"/>
              <w:right w:val="nil"/>
            </w:tcBorders>
            <w:shd w:val="clear" w:color="auto" w:fill="auto"/>
            <w:noWrap/>
            <w:vAlign w:val="center"/>
            <w:hideMark/>
          </w:tcPr>
          <w:p w14:paraId="71FAA062" w14:textId="79D10CFC"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923.3</w:t>
            </w:r>
          </w:p>
        </w:tc>
        <w:tc>
          <w:tcPr>
            <w:tcW w:w="941" w:type="dxa"/>
            <w:tcBorders>
              <w:top w:val="nil"/>
              <w:left w:val="nil"/>
              <w:bottom w:val="nil"/>
              <w:right w:val="nil"/>
            </w:tcBorders>
            <w:shd w:val="clear" w:color="auto" w:fill="auto"/>
            <w:noWrap/>
            <w:vAlign w:val="center"/>
            <w:hideMark/>
          </w:tcPr>
          <w:p w14:paraId="36E7D054" w14:textId="760C092A"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37.2</w:t>
            </w:r>
          </w:p>
        </w:tc>
      </w:tr>
      <w:tr w:rsidR="00A74063" w:rsidRPr="00FC4688" w14:paraId="59EDB4D0" w14:textId="084FA0BF" w:rsidTr="00F14605">
        <w:trPr>
          <w:trHeight w:val="252"/>
          <w:jc w:val="center"/>
        </w:trPr>
        <w:tc>
          <w:tcPr>
            <w:tcW w:w="3164" w:type="dxa"/>
            <w:tcBorders>
              <w:top w:val="nil"/>
              <w:left w:val="nil"/>
              <w:bottom w:val="nil"/>
              <w:right w:val="nil"/>
            </w:tcBorders>
            <w:shd w:val="clear" w:color="auto" w:fill="auto"/>
            <w:noWrap/>
            <w:vAlign w:val="center"/>
            <w:hideMark/>
          </w:tcPr>
          <w:p w14:paraId="2AE67098" w14:textId="77777777" w:rsidR="00A74063" w:rsidRPr="00FC4688" w:rsidRDefault="00A74063" w:rsidP="00A74063">
            <w:pPr>
              <w:ind w:firstLineChars="100" w:firstLine="160"/>
              <w:jc w:val="left"/>
              <w:rPr>
                <w:rFonts w:eastAsia="Times New Roman" w:cs="Times New Roman"/>
                <w:color w:val="000000"/>
                <w:sz w:val="16"/>
                <w:szCs w:val="16"/>
                <w:lang w:eastAsia="es-GT"/>
              </w:rPr>
            </w:pPr>
            <w:r w:rsidRPr="00FC4688">
              <w:rPr>
                <w:rFonts w:eastAsia="Times New Roman" w:cs="Times New Roman"/>
                <w:color w:val="000000"/>
                <w:sz w:val="16"/>
                <w:szCs w:val="16"/>
                <w:lang w:eastAsia="es-GT"/>
              </w:rPr>
              <w:t xml:space="preserve">Intereses </w:t>
            </w:r>
          </w:p>
        </w:tc>
        <w:tc>
          <w:tcPr>
            <w:tcW w:w="861" w:type="dxa"/>
            <w:tcBorders>
              <w:top w:val="nil"/>
              <w:left w:val="nil"/>
              <w:bottom w:val="nil"/>
              <w:right w:val="nil"/>
            </w:tcBorders>
            <w:shd w:val="clear" w:color="auto" w:fill="auto"/>
            <w:noWrap/>
            <w:vAlign w:val="center"/>
            <w:hideMark/>
          </w:tcPr>
          <w:p w14:paraId="657A3FF9" w14:textId="16103F6A"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2,055.0</w:t>
            </w:r>
          </w:p>
        </w:tc>
        <w:tc>
          <w:tcPr>
            <w:tcW w:w="861" w:type="dxa"/>
            <w:tcBorders>
              <w:top w:val="nil"/>
              <w:left w:val="nil"/>
              <w:bottom w:val="nil"/>
              <w:right w:val="nil"/>
            </w:tcBorders>
            <w:shd w:val="clear" w:color="auto" w:fill="auto"/>
            <w:noWrap/>
            <w:vAlign w:val="center"/>
            <w:hideMark/>
          </w:tcPr>
          <w:p w14:paraId="1DF51B9C" w14:textId="06EE3697"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2,662.1</w:t>
            </w:r>
          </w:p>
        </w:tc>
        <w:tc>
          <w:tcPr>
            <w:tcW w:w="861" w:type="dxa"/>
            <w:tcBorders>
              <w:top w:val="nil"/>
              <w:left w:val="dotDash" w:sz="4" w:space="0" w:color="auto"/>
              <w:bottom w:val="nil"/>
              <w:right w:val="nil"/>
            </w:tcBorders>
            <w:shd w:val="clear" w:color="auto" w:fill="auto"/>
            <w:noWrap/>
            <w:vAlign w:val="center"/>
            <w:hideMark/>
          </w:tcPr>
          <w:p w14:paraId="5F30F594" w14:textId="4F644C01"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607.1</w:t>
            </w:r>
          </w:p>
        </w:tc>
        <w:tc>
          <w:tcPr>
            <w:tcW w:w="941" w:type="dxa"/>
            <w:tcBorders>
              <w:top w:val="nil"/>
              <w:left w:val="nil"/>
              <w:bottom w:val="nil"/>
              <w:right w:val="nil"/>
            </w:tcBorders>
            <w:shd w:val="clear" w:color="auto" w:fill="auto"/>
            <w:noWrap/>
            <w:vAlign w:val="center"/>
            <w:hideMark/>
          </w:tcPr>
          <w:p w14:paraId="744A1AA9" w14:textId="75F0A2CC"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29.5</w:t>
            </w:r>
          </w:p>
        </w:tc>
      </w:tr>
      <w:tr w:rsidR="00A74063" w:rsidRPr="00FC4688" w14:paraId="4F52C47F" w14:textId="52E7ED7E" w:rsidTr="00F14605">
        <w:trPr>
          <w:trHeight w:val="252"/>
          <w:jc w:val="center"/>
        </w:trPr>
        <w:tc>
          <w:tcPr>
            <w:tcW w:w="3164" w:type="dxa"/>
            <w:tcBorders>
              <w:top w:val="nil"/>
              <w:left w:val="nil"/>
              <w:bottom w:val="nil"/>
              <w:right w:val="nil"/>
            </w:tcBorders>
            <w:shd w:val="clear" w:color="auto" w:fill="auto"/>
            <w:noWrap/>
            <w:vAlign w:val="center"/>
            <w:hideMark/>
          </w:tcPr>
          <w:p w14:paraId="0F3E6D4D" w14:textId="77777777" w:rsidR="00A74063" w:rsidRPr="00FC4688" w:rsidRDefault="00A74063" w:rsidP="00A74063">
            <w:pPr>
              <w:ind w:firstLineChars="100" w:firstLine="160"/>
              <w:jc w:val="left"/>
              <w:rPr>
                <w:rFonts w:eastAsia="Times New Roman" w:cs="Times New Roman"/>
                <w:color w:val="000000"/>
                <w:sz w:val="16"/>
                <w:szCs w:val="16"/>
                <w:lang w:eastAsia="es-GT"/>
              </w:rPr>
            </w:pPr>
            <w:r w:rsidRPr="00FC4688">
              <w:rPr>
                <w:rFonts w:eastAsia="Times New Roman" w:cs="Times New Roman"/>
                <w:color w:val="000000"/>
                <w:sz w:val="16"/>
                <w:szCs w:val="16"/>
                <w:lang w:eastAsia="es-GT"/>
              </w:rPr>
              <w:t xml:space="preserve">Subsidios </w:t>
            </w:r>
          </w:p>
        </w:tc>
        <w:tc>
          <w:tcPr>
            <w:tcW w:w="861" w:type="dxa"/>
            <w:tcBorders>
              <w:top w:val="nil"/>
              <w:left w:val="nil"/>
              <w:bottom w:val="nil"/>
              <w:right w:val="nil"/>
            </w:tcBorders>
            <w:shd w:val="clear" w:color="auto" w:fill="auto"/>
            <w:noWrap/>
            <w:vAlign w:val="center"/>
            <w:hideMark/>
          </w:tcPr>
          <w:p w14:paraId="68F3DF5D" w14:textId="0EF463E7"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149.6</w:t>
            </w:r>
          </w:p>
        </w:tc>
        <w:tc>
          <w:tcPr>
            <w:tcW w:w="861" w:type="dxa"/>
            <w:tcBorders>
              <w:top w:val="nil"/>
              <w:left w:val="nil"/>
              <w:bottom w:val="nil"/>
              <w:right w:val="nil"/>
            </w:tcBorders>
            <w:shd w:val="clear" w:color="auto" w:fill="auto"/>
            <w:noWrap/>
            <w:vAlign w:val="center"/>
            <w:hideMark/>
          </w:tcPr>
          <w:p w14:paraId="6ECCDC0F" w14:textId="09597BB8"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168.4</w:t>
            </w:r>
          </w:p>
        </w:tc>
        <w:tc>
          <w:tcPr>
            <w:tcW w:w="861" w:type="dxa"/>
            <w:tcBorders>
              <w:top w:val="nil"/>
              <w:left w:val="dotDash" w:sz="4" w:space="0" w:color="auto"/>
              <w:bottom w:val="nil"/>
              <w:right w:val="nil"/>
            </w:tcBorders>
            <w:shd w:val="clear" w:color="auto" w:fill="auto"/>
            <w:noWrap/>
            <w:vAlign w:val="center"/>
            <w:hideMark/>
          </w:tcPr>
          <w:p w14:paraId="44230D28" w14:textId="21C71E97"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18.8</w:t>
            </w:r>
          </w:p>
        </w:tc>
        <w:tc>
          <w:tcPr>
            <w:tcW w:w="941" w:type="dxa"/>
            <w:tcBorders>
              <w:top w:val="nil"/>
              <w:left w:val="nil"/>
              <w:bottom w:val="nil"/>
              <w:right w:val="nil"/>
            </w:tcBorders>
            <w:shd w:val="clear" w:color="auto" w:fill="auto"/>
            <w:noWrap/>
            <w:vAlign w:val="center"/>
            <w:hideMark/>
          </w:tcPr>
          <w:p w14:paraId="0FBC8BFB" w14:textId="1EE3750B"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12.6</w:t>
            </w:r>
          </w:p>
        </w:tc>
      </w:tr>
      <w:tr w:rsidR="00A74063" w:rsidRPr="00FC4688" w14:paraId="1F5BC8D0" w14:textId="0482C69D" w:rsidTr="00F14605">
        <w:trPr>
          <w:trHeight w:val="252"/>
          <w:jc w:val="center"/>
        </w:trPr>
        <w:tc>
          <w:tcPr>
            <w:tcW w:w="3164" w:type="dxa"/>
            <w:tcBorders>
              <w:top w:val="nil"/>
              <w:left w:val="nil"/>
              <w:bottom w:val="nil"/>
              <w:right w:val="nil"/>
            </w:tcBorders>
            <w:shd w:val="clear" w:color="auto" w:fill="auto"/>
            <w:noWrap/>
            <w:vAlign w:val="center"/>
            <w:hideMark/>
          </w:tcPr>
          <w:p w14:paraId="35490B56" w14:textId="77777777" w:rsidR="00A74063" w:rsidRPr="00FC4688" w:rsidRDefault="00A74063" w:rsidP="00A74063">
            <w:pPr>
              <w:ind w:firstLineChars="100" w:firstLine="160"/>
              <w:jc w:val="left"/>
              <w:rPr>
                <w:rFonts w:eastAsia="Times New Roman" w:cs="Times New Roman"/>
                <w:color w:val="000000"/>
                <w:sz w:val="16"/>
                <w:szCs w:val="16"/>
                <w:lang w:eastAsia="es-GT"/>
              </w:rPr>
            </w:pPr>
            <w:r w:rsidRPr="00FC4688">
              <w:rPr>
                <w:rFonts w:eastAsia="Times New Roman" w:cs="Times New Roman"/>
                <w:color w:val="000000"/>
                <w:sz w:val="16"/>
                <w:szCs w:val="16"/>
                <w:lang w:eastAsia="es-GT"/>
              </w:rPr>
              <w:t xml:space="preserve">Donaciones </w:t>
            </w:r>
          </w:p>
        </w:tc>
        <w:tc>
          <w:tcPr>
            <w:tcW w:w="861" w:type="dxa"/>
            <w:tcBorders>
              <w:top w:val="nil"/>
              <w:left w:val="nil"/>
              <w:bottom w:val="nil"/>
              <w:right w:val="nil"/>
            </w:tcBorders>
            <w:shd w:val="clear" w:color="auto" w:fill="auto"/>
            <w:noWrap/>
            <w:vAlign w:val="center"/>
            <w:hideMark/>
          </w:tcPr>
          <w:p w14:paraId="4E44BBDB" w14:textId="0BFB892E"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5,380.7</w:t>
            </w:r>
          </w:p>
        </w:tc>
        <w:tc>
          <w:tcPr>
            <w:tcW w:w="861" w:type="dxa"/>
            <w:tcBorders>
              <w:top w:val="nil"/>
              <w:left w:val="nil"/>
              <w:bottom w:val="nil"/>
              <w:right w:val="nil"/>
            </w:tcBorders>
            <w:shd w:val="clear" w:color="auto" w:fill="auto"/>
            <w:noWrap/>
            <w:vAlign w:val="center"/>
            <w:hideMark/>
          </w:tcPr>
          <w:p w14:paraId="3DE7A3B0" w14:textId="2F70F493"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5,998.0</w:t>
            </w:r>
          </w:p>
        </w:tc>
        <w:tc>
          <w:tcPr>
            <w:tcW w:w="861" w:type="dxa"/>
            <w:tcBorders>
              <w:top w:val="nil"/>
              <w:left w:val="dotDash" w:sz="4" w:space="0" w:color="auto"/>
              <w:bottom w:val="nil"/>
              <w:right w:val="nil"/>
            </w:tcBorders>
            <w:shd w:val="clear" w:color="auto" w:fill="auto"/>
            <w:noWrap/>
            <w:vAlign w:val="center"/>
            <w:hideMark/>
          </w:tcPr>
          <w:p w14:paraId="7A7F7CB0" w14:textId="50BF9271"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617.2</w:t>
            </w:r>
          </w:p>
        </w:tc>
        <w:tc>
          <w:tcPr>
            <w:tcW w:w="941" w:type="dxa"/>
            <w:tcBorders>
              <w:top w:val="nil"/>
              <w:left w:val="nil"/>
              <w:bottom w:val="nil"/>
              <w:right w:val="nil"/>
            </w:tcBorders>
            <w:shd w:val="clear" w:color="auto" w:fill="auto"/>
            <w:noWrap/>
            <w:vAlign w:val="center"/>
            <w:hideMark/>
          </w:tcPr>
          <w:p w14:paraId="07DF5F68" w14:textId="23770B6B"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11.5</w:t>
            </w:r>
          </w:p>
        </w:tc>
      </w:tr>
      <w:tr w:rsidR="00A74063" w:rsidRPr="00FC4688" w14:paraId="6A4F1395" w14:textId="2D8A8ED3" w:rsidTr="00F14605">
        <w:trPr>
          <w:trHeight w:val="252"/>
          <w:jc w:val="center"/>
        </w:trPr>
        <w:tc>
          <w:tcPr>
            <w:tcW w:w="3164" w:type="dxa"/>
            <w:tcBorders>
              <w:top w:val="nil"/>
              <w:left w:val="nil"/>
              <w:bottom w:val="nil"/>
              <w:right w:val="nil"/>
            </w:tcBorders>
            <w:shd w:val="clear" w:color="auto" w:fill="auto"/>
            <w:noWrap/>
            <w:vAlign w:val="center"/>
            <w:hideMark/>
          </w:tcPr>
          <w:p w14:paraId="1F33979A" w14:textId="77777777" w:rsidR="00A74063" w:rsidRPr="00FC4688" w:rsidRDefault="00A74063" w:rsidP="00A74063">
            <w:pPr>
              <w:ind w:firstLineChars="100" w:firstLine="160"/>
              <w:jc w:val="left"/>
              <w:rPr>
                <w:rFonts w:eastAsia="Times New Roman" w:cs="Times New Roman"/>
                <w:color w:val="000000"/>
                <w:sz w:val="16"/>
                <w:szCs w:val="16"/>
                <w:lang w:eastAsia="es-GT"/>
              </w:rPr>
            </w:pPr>
            <w:r w:rsidRPr="00FC4688">
              <w:rPr>
                <w:rFonts w:eastAsia="Times New Roman" w:cs="Times New Roman"/>
                <w:color w:val="000000"/>
                <w:sz w:val="16"/>
                <w:szCs w:val="16"/>
                <w:lang w:eastAsia="es-GT"/>
              </w:rPr>
              <w:t xml:space="preserve">Prestaciones sociales </w:t>
            </w:r>
          </w:p>
        </w:tc>
        <w:tc>
          <w:tcPr>
            <w:tcW w:w="861" w:type="dxa"/>
            <w:tcBorders>
              <w:top w:val="nil"/>
              <w:left w:val="nil"/>
              <w:bottom w:val="nil"/>
              <w:right w:val="nil"/>
            </w:tcBorders>
            <w:shd w:val="clear" w:color="auto" w:fill="auto"/>
            <w:noWrap/>
            <w:vAlign w:val="center"/>
            <w:hideMark/>
          </w:tcPr>
          <w:p w14:paraId="194B9FBA" w14:textId="2970925A"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1,349.9</w:t>
            </w:r>
          </w:p>
        </w:tc>
        <w:tc>
          <w:tcPr>
            <w:tcW w:w="861" w:type="dxa"/>
            <w:tcBorders>
              <w:top w:val="nil"/>
              <w:left w:val="nil"/>
              <w:bottom w:val="nil"/>
              <w:right w:val="nil"/>
            </w:tcBorders>
            <w:shd w:val="clear" w:color="auto" w:fill="auto"/>
            <w:noWrap/>
            <w:vAlign w:val="center"/>
            <w:hideMark/>
          </w:tcPr>
          <w:p w14:paraId="053B5F91" w14:textId="6A95B3A3"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1,620.0</w:t>
            </w:r>
          </w:p>
        </w:tc>
        <w:tc>
          <w:tcPr>
            <w:tcW w:w="861" w:type="dxa"/>
            <w:tcBorders>
              <w:top w:val="nil"/>
              <w:left w:val="dotDash" w:sz="4" w:space="0" w:color="auto"/>
              <w:bottom w:val="nil"/>
              <w:right w:val="nil"/>
            </w:tcBorders>
            <w:shd w:val="clear" w:color="auto" w:fill="auto"/>
            <w:noWrap/>
            <w:vAlign w:val="center"/>
            <w:hideMark/>
          </w:tcPr>
          <w:p w14:paraId="51CDEB9B" w14:textId="43B72B08"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270.2</w:t>
            </w:r>
          </w:p>
        </w:tc>
        <w:tc>
          <w:tcPr>
            <w:tcW w:w="941" w:type="dxa"/>
            <w:tcBorders>
              <w:top w:val="nil"/>
              <w:left w:val="nil"/>
              <w:bottom w:val="nil"/>
              <w:right w:val="nil"/>
            </w:tcBorders>
            <w:shd w:val="clear" w:color="auto" w:fill="auto"/>
            <w:noWrap/>
            <w:vAlign w:val="center"/>
            <w:hideMark/>
          </w:tcPr>
          <w:p w14:paraId="63D48068" w14:textId="7F4553EF"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20.0</w:t>
            </w:r>
          </w:p>
        </w:tc>
      </w:tr>
      <w:tr w:rsidR="00A74063" w:rsidRPr="00FC4688" w14:paraId="2C09391E" w14:textId="60780AB2" w:rsidTr="00F14605">
        <w:trPr>
          <w:trHeight w:val="252"/>
          <w:jc w:val="center"/>
        </w:trPr>
        <w:tc>
          <w:tcPr>
            <w:tcW w:w="3164" w:type="dxa"/>
            <w:tcBorders>
              <w:top w:val="nil"/>
              <w:left w:val="nil"/>
              <w:bottom w:val="nil"/>
              <w:right w:val="nil"/>
            </w:tcBorders>
            <w:shd w:val="clear" w:color="auto" w:fill="auto"/>
            <w:noWrap/>
            <w:vAlign w:val="center"/>
            <w:hideMark/>
          </w:tcPr>
          <w:p w14:paraId="76AF3A5B" w14:textId="77777777" w:rsidR="00A74063" w:rsidRPr="00FC4688" w:rsidRDefault="00A74063" w:rsidP="00A74063">
            <w:pPr>
              <w:ind w:firstLineChars="100" w:firstLine="160"/>
              <w:jc w:val="left"/>
              <w:rPr>
                <w:rFonts w:eastAsia="Times New Roman" w:cs="Times New Roman"/>
                <w:color w:val="000000"/>
                <w:sz w:val="16"/>
                <w:szCs w:val="16"/>
                <w:lang w:eastAsia="es-GT"/>
              </w:rPr>
            </w:pPr>
            <w:r w:rsidRPr="00FC4688">
              <w:rPr>
                <w:rFonts w:eastAsia="Times New Roman" w:cs="Times New Roman"/>
                <w:color w:val="000000"/>
                <w:sz w:val="16"/>
                <w:szCs w:val="16"/>
                <w:lang w:eastAsia="es-GT"/>
              </w:rPr>
              <w:t xml:space="preserve">Otros gastos </w:t>
            </w:r>
          </w:p>
        </w:tc>
        <w:tc>
          <w:tcPr>
            <w:tcW w:w="861" w:type="dxa"/>
            <w:tcBorders>
              <w:top w:val="nil"/>
              <w:left w:val="nil"/>
              <w:bottom w:val="nil"/>
              <w:right w:val="nil"/>
            </w:tcBorders>
            <w:shd w:val="clear" w:color="auto" w:fill="auto"/>
            <w:noWrap/>
            <w:vAlign w:val="center"/>
            <w:hideMark/>
          </w:tcPr>
          <w:p w14:paraId="3B5E9F3C" w14:textId="44BB6853"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1,417.2</w:t>
            </w:r>
          </w:p>
        </w:tc>
        <w:tc>
          <w:tcPr>
            <w:tcW w:w="861" w:type="dxa"/>
            <w:tcBorders>
              <w:top w:val="nil"/>
              <w:left w:val="nil"/>
              <w:bottom w:val="nil"/>
              <w:right w:val="nil"/>
            </w:tcBorders>
            <w:shd w:val="clear" w:color="auto" w:fill="auto"/>
            <w:noWrap/>
            <w:vAlign w:val="center"/>
            <w:hideMark/>
          </w:tcPr>
          <w:p w14:paraId="380F831C" w14:textId="1CA9CB87"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1,812.2</w:t>
            </w:r>
          </w:p>
        </w:tc>
        <w:tc>
          <w:tcPr>
            <w:tcW w:w="861" w:type="dxa"/>
            <w:tcBorders>
              <w:top w:val="nil"/>
              <w:left w:val="dotDash" w:sz="4" w:space="0" w:color="auto"/>
              <w:bottom w:val="nil"/>
              <w:right w:val="nil"/>
            </w:tcBorders>
            <w:shd w:val="clear" w:color="auto" w:fill="auto"/>
            <w:noWrap/>
            <w:vAlign w:val="center"/>
            <w:hideMark/>
          </w:tcPr>
          <w:p w14:paraId="4625997F" w14:textId="2ECAC8C0"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395.0</w:t>
            </w:r>
          </w:p>
        </w:tc>
        <w:tc>
          <w:tcPr>
            <w:tcW w:w="941" w:type="dxa"/>
            <w:tcBorders>
              <w:top w:val="nil"/>
              <w:left w:val="nil"/>
              <w:bottom w:val="nil"/>
              <w:right w:val="nil"/>
            </w:tcBorders>
            <w:shd w:val="clear" w:color="auto" w:fill="auto"/>
            <w:noWrap/>
            <w:vAlign w:val="center"/>
            <w:hideMark/>
          </w:tcPr>
          <w:p w14:paraId="2B7E6C30" w14:textId="514562D4" w:rsidR="00A74063" w:rsidRPr="00A74063" w:rsidRDefault="00A74063" w:rsidP="00A74063">
            <w:pPr>
              <w:jc w:val="center"/>
              <w:rPr>
                <w:rFonts w:eastAsia="Times New Roman" w:cs="Times New Roman"/>
                <w:color w:val="000000"/>
                <w:sz w:val="16"/>
                <w:szCs w:val="16"/>
                <w:lang w:eastAsia="es-GT"/>
              </w:rPr>
            </w:pPr>
            <w:r w:rsidRPr="00A74063">
              <w:rPr>
                <w:color w:val="000000"/>
                <w:sz w:val="16"/>
                <w:szCs w:val="16"/>
              </w:rPr>
              <w:t>27.9</w:t>
            </w:r>
          </w:p>
        </w:tc>
      </w:tr>
      <w:tr w:rsidR="00A74063" w:rsidRPr="00FC4688" w14:paraId="4035D0FD" w14:textId="5440332B" w:rsidTr="00F14605">
        <w:trPr>
          <w:trHeight w:val="252"/>
          <w:jc w:val="center"/>
        </w:trPr>
        <w:tc>
          <w:tcPr>
            <w:tcW w:w="3164" w:type="dxa"/>
            <w:tcBorders>
              <w:top w:val="nil"/>
              <w:left w:val="nil"/>
              <w:bottom w:val="nil"/>
              <w:right w:val="nil"/>
            </w:tcBorders>
            <w:shd w:val="clear" w:color="auto" w:fill="auto"/>
            <w:noWrap/>
            <w:vAlign w:val="center"/>
            <w:hideMark/>
          </w:tcPr>
          <w:p w14:paraId="78E0F8E7" w14:textId="77777777" w:rsidR="00A74063" w:rsidRPr="00FC4688" w:rsidRDefault="00A74063" w:rsidP="00A74063">
            <w:pPr>
              <w:rPr>
                <w:rFonts w:eastAsia="Times New Roman" w:cs="Times New Roman"/>
                <w:b/>
                <w:bCs/>
                <w:color w:val="000000"/>
                <w:sz w:val="16"/>
                <w:szCs w:val="16"/>
                <w:lang w:eastAsia="es-GT"/>
              </w:rPr>
            </w:pPr>
            <w:r w:rsidRPr="00FC4688">
              <w:rPr>
                <w:rFonts w:eastAsia="Times New Roman" w:cs="Times New Roman"/>
                <w:b/>
                <w:bCs/>
                <w:color w:val="000000"/>
                <w:sz w:val="16"/>
                <w:szCs w:val="16"/>
                <w:lang w:eastAsia="es-GT"/>
              </w:rPr>
              <w:t>Resultado Operativo Primario</w:t>
            </w:r>
          </w:p>
        </w:tc>
        <w:tc>
          <w:tcPr>
            <w:tcW w:w="861" w:type="dxa"/>
            <w:tcBorders>
              <w:top w:val="nil"/>
              <w:left w:val="nil"/>
              <w:bottom w:val="nil"/>
              <w:right w:val="nil"/>
            </w:tcBorders>
            <w:shd w:val="clear" w:color="auto" w:fill="auto"/>
            <w:noWrap/>
            <w:vAlign w:val="center"/>
            <w:hideMark/>
          </w:tcPr>
          <w:p w14:paraId="69B9C148" w14:textId="42ECC13C" w:rsidR="00A74063" w:rsidRPr="00A74063" w:rsidRDefault="00A74063" w:rsidP="00A74063">
            <w:pPr>
              <w:jc w:val="center"/>
              <w:rPr>
                <w:rFonts w:eastAsia="Times New Roman" w:cs="Times New Roman"/>
                <w:b/>
                <w:bCs/>
                <w:color w:val="000000"/>
                <w:sz w:val="16"/>
                <w:szCs w:val="16"/>
                <w:lang w:eastAsia="es-GT"/>
              </w:rPr>
            </w:pPr>
            <w:r w:rsidRPr="00A74063">
              <w:rPr>
                <w:b/>
                <w:bCs/>
                <w:color w:val="000000"/>
                <w:sz w:val="16"/>
                <w:szCs w:val="16"/>
              </w:rPr>
              <w:t>4,049.4</w:t>
            </w:r>
          </w:p>
        </w:tc>
        <w:tc>
          <w:tcPr>
            <w:tcW w:w="861" w:type="dxa"/>
            <w:tcBorders>
              <w:top w:val="nil"/>
              <w:left w:val="nil"/>
              <w:bottom w:val="nil"/>
              <w:right w:val="nil"/>
            </w:tcBorders>
            <w:shd w:val="clear" w:color="auto" w:fill="auto"/>
            <w:noWrap/>
            <w:vAlign w:val="center"/>
            <w:hideMark/>
          </w:tcPr>
          <w:p w14:paraId="1638E1AB" w14:textId="07A94882" w:rsidR="00A74063" w:rsidRPr="00A74063" w:rsidRDefault="00A74063" w:rsidP="00A74063">
            <w:pPr>
              <w:jc w:val="center"/>
              <w:rPr>
                <w:rFonts w:eastAsia="Times New Roman" w:cs="Times New Roman"/>
                <w:b/>
                <w:bCs/>
                <w:color w:val="000000"/>
                <w:sz w:val="16"/>
                <w:szCs w:val="16"/>
                <w:lang w:eastAsia="es-GT"/>
              </w:rPr>
            </w:pPr>
            <w:r w:rsidRPr="00A74063">
              <w:rPr>
                <w:b/>
                <w:bCs/>
                <w:color w:val="000000"/>
                <w:sz w:val="16"/>
                <w:szCs w:val="16"/>
              </w:rPr>
              <w:t>3,710.1</w:t>
            </w:r>
          </w:p>
        </w:tc>
        <w:tc>
          <w:tcPr>
            <w:tcW w:w="861" w:type="dxa"/>
            <w:tcBorders>
              <w:top w:val="nil"/>
              <w:left w:val="dotDash" w:sz="4" w:space="0" w:color="auto"/>
              <w:bottom w:val="nil"/>
              <w:right w:val="nil"/>
            </w:tcBorders>
            <w:shd w:val="clear" w:color="auto" w:fill="auto"/>
            <w:noWrap/>
            <w:vAlign w:val="center"/>
            <w:hideMark/>
          </w:tcPr>
          <w:p w14:paraId="1F360FED" w14:textId="732B4425" w:rsidR="00A74063" w:rsidRPr="00A74063" w:rsidRDefault="00A74063" w:rsidP="00A74063">
            <w:pPr>
              <w:jc w:val="center"/>
              <w:rPr>
                <w:rFonts w:eastAsia="Times New Roman" w:cs="Times New Roman"/>
                <w:b/>
                <w:bCs/>
                <w:color w:val="000000"/>
                <w:sz w:val="16"/>
                <w:szCs w:val="16"/>
                <w:lang w:eastAsia="es-GT"/>
              </w:rPr>
            </w:pPr>
            <w:r w:rsidRPr="00A74063">
              <w:rPr>
                <w:b/>
                <w:bCs/>
                <w:color w:val="000000"/>
                <w:sz w:val="16"/>
                <w:szCs w:val="16"/>
              </w:rPr>
              <w:t>-339.4</w:t>
            </w:r>
          </w:p>
        </w:tc>
        <w:tc>
          <w:tcPr>
            <w:tcW w:w="941" w:type="dxa"/>
            <w:tcBorders>
              <w:top w:val="nil"/>
              <w:left w:val="nil"/>
              <w:bottom w:val="nil"/>
              <w:right w:val="nil"/>
            </w:tcBorders>
            <w:shd w:val="clear" w:color="auto" w:fill="auto"/>
            <w:noWrap/>
            <w:vAlign w:val="center"/>
            <w:hideMark/>
          </w:tcPr>
          <w:p w14:paraId="780DB06A" w14:textId="4B2674E5" w:rsidR="00A74063" w:rsidRPr="00A74063" w:rsidRDefault="00A74063" w:rsidP="00A74063">
            <w:pPr>
              <w:jc w:val="center"/>
              <w:rPr>
                <w:rFonts w:eastAsia="Times New Roman" w:cs="Times New Roman"/>
                <w:b/>
                <w:bCs/>
                <w:color w:val="000000"/>
                <w:sz w:val="16"/>
                <w:szCs w:val="16"/>
                <w:lang w:eastAsia="es-GT"/>
              </w:rPr>
            </w:pPr>
            <w:r w:rsidRPr="00A74063">
              <w:rPr>
                <w:b/>
                <w:bCs/>
                <w:color w:val="000000"/>
                <w:sz w:val="16"/>
                <w:szCs w:val="16"/>
              </w:rPr>
              <w:t>-8.4</w:t>
            </w:r>
          </w:p>
        </w:tc>
      </w:tr>
      <w:tr w:rsidR="00A74063" w:rsidRPr="00FC4688" w14:paraId="2491D8E0" w14:textId="222F1EA7" w:rsidTr="00F14605">
        <w:trPr>
          <w:trHeight w:val="264"/>
          <w:jc w:val="center"/>
        </w:trPr>
        <w:tc>
          <w:tcPr>
            <w:tcW w:w="3164" w:type="dxa"/>
            <w:tcBorders>
              <w:top w:val="nil"/>
              <w:left w:val="nil"/>
              <w:bottom w:val="nil"/>
              <w:right w:val="nil"/>
            </w:tcBorders>
            <w:shd w:val="clear" w:color="auto" w:fill="auto"/>
            <w:noWrap/>
            <w:vAlign w:val="center"/>
            <w:hideMark/>
          </w:tcPr>
          <w:p w14:paraId="6B9F44C3" w14:textId="77777777" w:rsidR="00A74063" w:rsidRPr="00FC4688" w:rsidRDefault="00A74063" w:rsidP="00A74063">
            <w:pPr>
              <w:rPr>
                <w:rFonts w:eastAsia="Times New Roman" w:cs="Times New Roman"/>
                <w:b/>
                <w:bCs/>
                <w:color w:val="000000"/>
                <w:sz w:val="16"/>
                <w:szCs w:val="16"/>
                <w:lang w:eastAsia="es-GT"/>
              </w:rPr>
            </w:pPr>
            <w:r w:rsidRPr="00FC4688">
              <w:rPr>
                <w:rFonts w:eastAsia="Times New Roman" w:cs="Times New Roman"/>
                <w:b/>
                <w:bCs/>
                <w:color w:val="000000"/>
                <w:sz w:val="16"/>
                <w:szCs w:val="16"/>
                <w:lang w:eastAsia="es-GT"/>
              </w:rPr>
              <w:t>Resultado Operativo</w:t>
            </w:r>
          </w:p>
        </w:tc>
        <w:tc>
          <w:tcPr>
            <w:tcW w:w="861" w:type="dxa"/>
            <w:tcBorders>
              <w:top w:val="nil"/>
              <w:left w:val="nil"/>
              <w:bottom w:val="nil"/>
              <w:right w:val="nil"/>
            </w:tcBorders>
            <w:shd w:val="clear" w:color="auto" w:fill="auto"/>
            <w:noWrap/>
            <w:vAlign w:val="center"/>
            <w:hideMark/>
          </w:tcPr>
          <w:p w14:paraId="581DD849" w14:textId="6E47C1FA" w:rsidR="00A74063" w:rsidRPr="00A74063" w:rsidRDefault="00A74063" w:rsidP="00A74063">
            <w:pPr>
              <w:jc w:val="center"/>
              <w:rPr>
                <w:rFonts w:eastAsia="Times New Roman" w:cs="Times New Roman"/>
                <w:b/>
                <w:bCs/>
                <w:color w:val="000000"/>
                <w:sz w:val="16"/>
                <w:szCs w:val="16"/>
                <w:lang w:eastAsia="es-GT"/>
              </w:rPr>
            </w:pPr>
            <w:r w:rsidRPr="00A74063">
              <w:rPr>
                <w:b/>
                <w:bCs/>
                <w:color w:val="000000"/>
                <w:sz w:val="16"/>
                <w:szCs w:val="16"/>
              </w:rPr>
              <w:t>1,994.5</w:t>
            </w:r>
          </w:p>
        </w:tc>
        <w:tc>
          <w:tcPr>
            <w:tcW w:w="861" w:type="dxa"/>
            <w:tcBorders>
              <w:top w:val="nil"/>
              <w:left w:val="nil"/>
              <w:bottom w:val="nil"/>
              <w:right w:val="nil"/>
            </w:tcBorders>
            <w:shd w:val="clear" w:color="auto" w:fill="auto"/>
            <w:noWrap/>
            <w:vAlign w:val="center"/>
            <w:hideMark/>
          </w:tcPr>
          <w:p w14:paraId="0BFF54A5" w14:textId="0928589F" w:rsidR="00A74063" w:rsidRPr="00A74063" w:rsidRDefault="00A74063" w:rsidP="00A74063">
            <w:pPr>
              <w:jc w:val="center"/>
              <w:rPr>
                <w:rFonts w:eastAsia="Times New Roman" w:cs="Times New Roman"/>
                <w:b/>
                <w:bCs/>
                <w:color w:val="000000"/>
                <w:sz w:val="16"/>
                <w:szCs w:val="16"/>
                <w:lang w:eastAsia="es-GT"/>
              </w:rPr>
            </w:pPr>
            <w:r w:rsidRPr="00A74063">
              <w:rPr>
                <w:b/>
                <w:bCs/>
                <w:color w:val="000000"/>
                <w:sz w:val="16"/>
                <w:szCs w:val="16"/>
              </w:rPr>
              <w:t>1,048.0</w:t>
            </w:r>
          </w:p>
        </w:tc>
        <w:tc>
          <w:tcPr>
            <w:tcW w:w="861" w:type="dxa"/>
            <w:tcBorders>
              <w:top w:val="nil"/>
              <w:left w:val="dotDash" w:sz="4" w:space="0" w:color="auto"/>
              <w:bottom w:val="nil"/>
              <w:right w:val="nil"/>
            </w:tcBorders>
            <w:shd w:val="clear" w:color="auto" w:fill="auto"/>
            <w:noWrap/>
            <w:vAlign w:val="center"/>
            <w:hideMark/>
          </w:tcPr>
          <w:p w14:paraId="5D5EF589" w14:textId="06C7A4CA" w:rsidR="00A74063" w:rsidRPr="00A74063" w:rsidRDefault="00A74063" w:rsidP="00A74063">
            <w:pPr>
              <w:jc w:val="center"/>
              <w:rPr>
                <w:rFonts w:eastAsia="Times New Roman" w:cs="Times New Roman"/>
                <w:b/>
                <w:bCs/>
                <w:color w:val="000000"/>
                <w:sz w:val="16"/>
                <w:szCs w:val="16"/>
                <w:lang w:eastAsia="es-GT"/>
              </w:rPr>
            </w:pPr>
            <w:r w:rsidRPr="00A74063">
              <w:rPr>
                <w:b/>
                <w:bCs/>
                <w:color w:val="000000"/>
                <w:sz w:val="16"/>
                <w:szCs w:val="16"/>
              </w:rPr>
              <w:t>-946.5</w:t>
            </w:r>
          </w:p>
        </w:tc>
        <w:tc>
          <w:tcPr>
            <w:tcW w:w="941" w:type="dxa"/>
            <w:tcBorders>
              <w:top w:val="nil"/>
              <w:left w:val="nil"/>
              <w:bottom w:val="nil"/>
              <w:right w:val="nil"/>
            </w:tcBorders>
            <w:shd w:val="clear" w:color="auto" w:fill="auto"/>
            <w:noWrap/>
            <w:vAlign w:val="center"/>
            <w:hideMark/>
          </w:tcPr>
          <w:p w14:paraId="1EFE806F" w14:textId="6F61CF17" w:rsidR="00A74063" w:rsidRPr="00A74063" w:rsidRDefault="00A74063" w:rsidP="00A74063">
            <w:pPr>
              <w:jc w:val="center"/>
              <w:rPr>
                <w:rFonts w:eastAsia="Times New Roman" w:cs="Times New Roman"/>
                <w:b/>
                <w:bCs/>
                <w:color w:val="000000"/>
                <w:sz w:val="16"/>
                <w:szCs w:val="16"/>
                <w:lang w:eastAsia="es-GT"/>
              </w:rPr>
            </w:pPr>
            <w:r w:rsidRPr="00A74063">
              <w:rPr>
                <w:b/>
                <w:bCs/>
                <w:color w:val="000000"/>
                <w:sz w:val="16"/>
                <w:szCs w:val="16"/>
              </w:rPr>
              <w:t>-47.5</w:t>
            </w:r>
          </w:p>
        </w:tc>
      </w:tr>
      <w:tr w:rsidR="00673937" w:rsidRPr="00FC4688" w14:paraId="6567B959" w14:textId="34BF3C53" w:rsidTr="00673937">
        <w:trPr>
          <w:trHeight w:val="264"/>
          <w:jc w:val="center"/>
        </w:trPr>
        <w:tc>
          <w:tcPr>
            <w:tcW w:w="6688" w:type="dxa"/>
            <w:gridSpan w:val="5"/>
            <w:tcBorders>
              <w:top w:val="single" w:sz="8" w:space="0" w:color="auto"/>
              <w:left w:val="nil"/>
              <w:bottom w:val="double" w:sz="6" w:space="0" w:color="auto"/>
              <w:right w:val="nil"/>
            </w:tcBorders>
            <w:shd w:val="clear" w:color="auto" w:fill="auto"/>
            <w:noWrap/>
            <w:vAlign w:val="center"/>
            <w:hideMark/>
          </w:tcPr>
          <w:p w14:paraId="0A39C5D9" w14:textId="77777777" w:rsidR="00673937" w:rsidRPr="00FC4688" w:rsidRDefault="00673937" w:rsidP="003E4789">
            <w:pPr>
              <w:rPr>
                <w:rFonts w:eastAsia="Times New Roman" w:cs="Times New Roman"/>
                <w:color w:val="4472C4"/>
                <w:sz w:val="18"/>
                <w:szCs w:val="18"/>
                <w:lang w:eastAsia="es-GT"/>
              </w:rPr>
            </w:pPr>
            <w:r w:rsidRPr="00FC4688">
              <w:rPr>
                <w:rFonts w:eastAsia="Times New Roman" w:cs="Times New Roman"/>
                <w:color w:val="4472C4"/>
                <w:sz w:val="18"/>
                <w:szCs w:val="18"/>
                <w:lang w:eastAsia="es-GT"/>
              </w:rPr>
              <w:t>TRANSACCIONES EN ACTIVOS NO FINANCIEROS</w:t>
            </w:r>
          </w:p>
        </w:tc>
      </w:tr>
      <w:tr w:rsidR="002F6D59" w:rsidRPr="00FC4688" w14:paraId="084D0011" w14:textId="277EE412" w:rsidTr="00673937">
        <w:trPr>
          <w:trHeight w:val="264"/>
          <w:jc w:val="center"/>
        </w:trPr>
        <w:tc>
          <w:tcPr>
            <w:tcW w:w="3164" w:type="dxa"/>
            <w:tcBorders>
              <w:top w:val="nil"/>
              <w:left w:val="nil"/>
              <w:bottom w:val="nil"/>
              <w:right w:val="nil"/>
            </w:tcBorders>
            <w:shd w:val="clear" w:color="auto" w:fill="auto"/>
            <w:noWrap/>
            <w:vAlign w:val="center"/>
            <w:hideMark/>
          </w:tcPr>
          <w:p w14:paraId="573E68EB" w14:textId="77777777" w:rsidR="002F6D59" w:rsidRPr="00FC4688" w:rsidRDefault="002F6D59" w:rsidP="002F6D59">
            <w:pPr>
              <w:rPr>
                <w:rFonts w:eastAsia="Times New Roman" w:cs="Times New Roman"/>
                <w:color w:val="000000"/>
                <w:sz w:val="16"/>
                <w:szCs w:val="16"/>
                <w:lang w:eastAsia="es-GT"/>
              </w:rPr>
            </w:pPr>
            <w:r w:rsidRPr="00FC4688">
              <w:rPr>
                <w:rFonts w:eastAsia="Times New Roman" w:cs="Times New Roman"/>
                <w:color w:val="000000"/>
                <w:sz w:val="16"/>
                <w:szCs w:val="16"/>
                <w:lang w:eastAsia="es-GT"/>
              </w:rPr>
              <w:t>Inversión bruta en activos no financieros</w:t>
            </w:r>
          </w:p>
        </w:tc>
        <w:tc>
          <w:tcPr>
            <w:tcW w:w="861" w:type="dxa"/>
            <w:tcBorders>
              <w:top w:val="nil"/>
              <w:left w:val="nil"/>
              <w:bottom w:val="nil"/>
              <w:right w:val="nil"/>
            </w:tcBorders>
            <w:shd w:val="clear" w:color="auto" w:fill="auto"/>
            <w:noWrap/>
            <w:vAlign w:val="center"/>
            <w:hideMark/>
          </w:tcPr>
          <w:p w14:paraId="104BD431" w14:textId="3586611F"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806.9</w:t>
            </w:r>
          </w:p>
        </w:tc>
        <w:tc>
          <w:tcPr>
            <w:tcW w:w="861" w:type="dxa"/>
            <w:tcBorders>
              <w:top w:val="nil"/>
              <w:left w:val="nil"/>
              <w:bottom w:val="nil"/>
              <w:right w:val="nil"/>
            </w:tcBorders>
            <w:shd w:val="clear" w:color="auto" w:fill="auto"/>
            <w:noWrap/>
            <w:vAlign w:val="center"/>
            <w:hideMark/>
          </w:tcPr>
          <w:p w14:paraId="481826F4" w14:textId="2151668E"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1,222.8</w:t>
            </w:r>
          </w:p>
        </w:tc>
        <w:tc>
          <w:tcPr>
            <w:tcW w:w="861" w:type="dxa"/>
            <w:tcBorders>
              <w:top w:val="double" w:sz="6" w:space="0" w:color="auto"/>
              <w:left w:val="dotDash" w:sz="4" w:space="0" w:color="auto"/>
              <w:bottom w:val="nil"/>
              <w:right w:val="nil"/>
            </w:tcBorders>
            <w:shd w:val="clear" w:color="auto" w:fill="auto"/>
            <w:noWrap/>
            <w:vAlign w:val="center"/>
            <w:hideMark/>
          </w:tcPr>
          <w:p w14:paraId="619B3F99" w14:textId="5F4D608C"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415.9</w:t>
            </w:r>
          </w:p>
        </w:tc>
        <w:tc>
          <w:tcPr>
            <w:tcW w:w="941" w:type="dxa"/>
            <w:tcBorders>
              <w:top w:val="nil"/>
              <w:left w:val="nil"/>
              <w:bottom w:val="nil"/>
              <w:right w:val="nil"/>
            </w:tcBorders>
            <w:shd w:val="clear" w:color="auto" w:fill="auto"/>
            <w:noWrap/>
            <w:vAlign w:val="center"/>
            <w:hideMark/>
          </w:tcPr>
          <w:p w14:paraId="1BE3AC12" w14:textId="140D94B7"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51.5</w:t>
            </w:r>
          </w:p>
        </w:tc>
      </w:tr>
      <w:tr w:rsidR="002F6D59" w:rsidRPr="00FC4688" w14:paraId="5A8D5892" w14:textId="5C3FC364" w:rsidTr="00673937">
        <w:trPr>
          <w:trHeight w:val="252"/>
          <w:jc w:val="center"/>
        </w:trPr>
        <w:tc>
          <w:tcPr>
            <w:tcW w:w="3164" w:type="dxa"/>
            <w:tcBorders>
              <w:top w:val="nil"/>
              <w:left w:val="nil"/>
              <w:bottom w:val="nil"/>
              <w:right w:val="nil"/>
            </w:tcBorders>
            <w:shd w:val="clear" w:color="auto" w:fill="auto"/>
            <w:noWrap/>
            <w:vAlign w:val="center"/>
            <w:hideMark/>
          </w:tcPr>
          <w:p w14:paraId="0D083145" w14:textId="77777777" w:rsidR="002F6D59" w:rsidRPr="00FC4688" w:rsidRDefault="002F6D59" w:rsidP="002F6D59">
            <w:pPr>
              <w:rPr>
                <w:rFonts w:eastAsia="Times New Roman" w:cs="Times New Roman"/>
                <w:color w:val="000000"/>
                <w:sz w:val="16"/>
                <w:szCs w:val="16"/>
                <w:lang w:eastAsia="es-GT"/>
              </w:rPr>
            </w:pPr>
            <w:r w:rsidRPr="00FC4688">
              <w:rPr>
                <w:rFonts w:eastAsia="Times New Roman" w:cs="Times New Roman"/>
                <w:color w:val="000000"/>
                <w:sz w:val="16"/>
                <w:szCs w:val="16"/>
                <w:lang w:eastAsia="es-GT"/>
              </w:rPr>
              <w:t>Erogación</w:t>
            </w:r>
          </w:p>
        </w:tc>
        <w:tc>
          <w:tcPr>
            <w:tcW w:w="861" w:type="dxa"/>
            <w:tcBorders>
              <w:top w:val="nil"/>
              <w:left w:val="nil"/>
              <w:bottom w:val="nil"/>
              <w:right w:val="nil"/>
            </w:tcBorders>
            <w:shd w:val="clear" w:color="auto" w:fill="auto"/>
            <w:noWrap/>
            <w:vAlign w:val="center"/>
            <w:hideMark/>
          </w:tcPr>
          <w:p w14:paraId="0E56D42C" w14:textId="1D2C8C9C"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21,080.3</w:t>
            </w:r>
          </w:p>
        </w:tc>
        <w:tc>
          <w:tcPr>
            <w:tcW w:w="861" w:type="dxa"/>
            <w:tcBorders>
              <w:top w:val="nil"/>
              <w:left w:val="nil"/>
              <w:bottom w:val="nil"/>
              <w:right w:val="nil"/>
            </w:tcBorders>
            <w:shd w:val="clear" w:color="auto" w:fill="auto"/>
            <w:noWrap/>
            <w:vAlign w:val="center"/>
            <w:hideMark/>
          </w:tcPr>
          <w:p w14:paraId="341666FD" w14:textId="15AEC31D"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25,085.9</w:t>
            </w:r>
          </w:p>
        </w:tc>
        <w:tc>
          <w:tcPr>
            <w:tcW w:w="861" w:type="dxa"/>
            <w:tcBorders>
              <w:top w:val="nil"/>
              <w:left w:val="dotDash" w:sz="4" w:space="0" w:color="auto"/>
              <w:bottom w:val="nil"/>
              <w:right w:val="nil"/>
            </w:tcBorders>
            <w:shd w:val="clear" w:color="auto" w:fill="auto"/>
            <w:noWrap/>
            <w:vAlign w:val="center"/>
            <w:hideMark/>
          </w:tcPr>
          <w:p w14:paraId="5A79CAEE" w14:textId="0020C82E"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4,005.5</w:t>
            </w:r>
          </w:p>
        </w:tc>
        <w:tc>
          <w:tcPr>
            <w:tcW w:w="941" w:type="dxa"/>
            <w:tcBorders>
              <w:top w:val="nil"/>
              <w:left w:val="nil"/>
              <w:bottom w:val="nil"/>
              <w:right w:val="nil"/>
            </w:tcBorders>
            <w:shd w:val="clear" w:color="auto" w:fill="auto"/>
            <w:noWrap/>
            <w:vAlign w:val="center"/>
            <w:hideMark/>
          </w:tcPr>
          <w:p w14:paraId="0D6AF032" w14:textId="60E7AEEF"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19.0</w:t>
            </w:r>
          </w:p>
        </w:tc>
      </w:tr>
      <w:tr w:rsidR="002F6D59" w:rsidRPr="00FC4688" w14:paraId="205BFE93" w14:textId="2D3FCF6F" w:rsidTr="00673937">
        <w:trPr>
          <w:trHeight w:val="252"/>
          <w:jc w:val="center"/>
        </w:trPr>
        <w:tc>
          <w:tcPr>
            <w:tcW w:w="3164" w:type="dxa"/>
            <w:tcBorders>
              <w:top w:val="nil"/>
              <w:left w:val="nil"/>
              <w:bottom w:val="nil"/>
              <w:right w:val="nil"/>
            </w:tcBorders>
            <w:shd w:val="clear" w:color="auto" w:fill="auto"/>
            <w:noWrap/>
            <w:vAlign w:val="center"/>
            <w:hideMark/>
          </w:tcPr>
          <w:p w14:paraId="7B8BD1E5" w14:textId="77777777" w:rsidR="002F6D59" w:rsidRPr="00FC4688" w:rsidRDefault="002F6D59" w:rsidP="002F6D59">
            <w:pPr>
              <w:rPr>
                <w:rFonts w:eastAsia="Times New Roman" w:cs="Times New Roman"/>
                <w:b/>
                <w:bCs/>
                <w:color w:val="000000"/>
                <w:sz w:val="16"/>
                <w:szCs w:val="16"/>
                <w:lang w:eastAsia="es-GT"/>
              </w:rPr>
            </w:pPr>
            <w:r w:rsidRPr="00FC4688">
              <w:rPr>
                <w:rFonts w:eastAsia="Times New Roman" w:cs="Times New Roman"/>
                <w:b/>
                <w:bCs/>
                <w:color w:val="000000"/>
                <w:sz w:val="16"/>
                <w:szCs w:val="16"/>
                <w:lang w:eastAsia="es-GT"/>
              </w:rPr>
              <w:t>Resultado Primario</w:t>
            </w:r>
          </w:p>
        </w:tc>
        <w:tc>
          <w:tcPr>
            <w:tcW w:w="861" w:type="dxa"/>
            <w:tcBorders>
              <w:top w:val="nil"/>
              <w:left w:val="nil"/>
              <w:bottom w:val="nil"/>
              <w:right w:val="nil"/>
            </w:tcBorders>
            <w:shd w:val="clear" w:color="auto" w:fill="auto"/>
            <w:noWrap/>
            <w:vAlign w:val="center"/>
            <w:hideMark/>
          </w:tcPr>
          <w:p w14:paraId="3E003DDF" w14:textId="2BE83966" w:rsidR="002F6D59" w:rsidRPr="002F6D59" w:rsidRDefault="002F6D59" w:rsidP="002F6D59">
            <w:pPr>
              <w:jc w:val="center"/>
              <w:rPr>
                <w:rFonts w:eastAsia="Times New Roman" w:cs="Times New Roman"/>
                <w:b/>
                <w:bCs/>
                <w:color w:val="000000"/>
                <w:sz w:val="16"/>
                <w:szCs w:val="16"/>
                <w:lang w:eastAsia="es-GT"/>
              </w:rPr>
            </w:pPr>
            <w:r w:rsidRPr="002F6D59">
              <w:rPr>
                <w:b/>
                <w:bCs/>
                <w:color w:val="000000"/>
                <w:sz w:val="16"/>
                <w:szCs w:val="16"/>
              </w:rPr>
              <w:t>3,242.6</w:t>
            </w:r>
          </w:p>
        </w:tc>
        <w:tc>
          <w:tcPr>
            <w:tcW w:w="861" w:type="dxa"/>
            <w:tcBorders>
              <w:top w:val="nil"/>
              <w:left w:val="nil"/>
              <w:bottom w:val="nil"/>
              <w:right w:val="nil"/>
            </w:tcBorders>
            <w:shd w:val="clear" w:color="auto" w:fill="auto"/>
            <w:noWrap/>
            <w:vAlign w:val="center"/>
            <w:hideMark/>
          </w:tcPr>
          <w:p w14:paraId="2A525B45" w14:textId="0FC40D12" w:rsidR="002F6D59" w:rsidRPr="002F6D59" w:rsidRDefault="002F6D59" w:rsidP="002F6D59">
            <w:pPr>
              <w:jc w:val="center"/>
              <w:rPr>
                <w:rFonts w:eastAsia="Times New Roman" w:cs="Times New Roman"/>
                <w:b/>
                <w:bCs/>
                <w:color w:val="000000"/>
                <w:sz w:val="16"/>
                <w:szCs w:val="16"/>
                <w:lang w:eastAsia="es-GT"/>
              </w:rPr>
            </w:pPr>
            <w:r w:rsidRPr="002F6D59">
              <w:rPr>
                <w:b/>
                <w:bCs/>
                <w:color w:val="000000"/>
                <w:sz w:val="16"/>
                <w:szCs w:val="16"/>
              </w:rPr>
              <w:t>2,487.3</w:t>
            </w:r>
          </w:p>
        </w:tc>
        <w:tc>
          <w:tcPr>
            <w:tcW w:w="861" w:type="dxa"/>
            <w:tcBorders>
              <w:top w:val="nil"/>
              <w:left w:val="dotDash" w:sz="4" w:space="0" w:color="auto"/>
              <w:bottom w:val="nil"/>
              <w:right w:val="nil"/>
            </w:tcBorders>
            <w:shd w:val="clear" w:color="auto" w:fill="auto"/>
            <w:noWrap/>
            <w:vAlign w:val="center"/>
            <w:hideMark/>
          </w:tcPr>
          <w:p w14:paraId="348435F1" w14:textId="0B730111" w:rsidR="002F6D59" w:rsidRPr="002F6D59" w:rsidRDefault="002F6D59" w:rsidP="002F6D59">
            <w:pPr>
              <w:jc w:val="center"/>
              <w:rPr>
                <w:rFonts w:eastAsia="Times New Roman" w:cs="Times New Roman"/>
                <w:b/>
                <w:bCs/>
                <w:color w:val="000000"/>
                <w:sz w:val="16"/>
                <w:szCs w:val="16"/>
                <w:lang w:eastAsia="es-GT"/>
              </w:rPr>
            </w:pPr>
            <w:r w:rsidRPr="002F6D59">
              <w:rPr>
                <w:b/>
                <w:bCs/>
                <w:color w:val="000000"/>
                <w:sz w:val="16"/>
                <w:szCs w:val="16"/>
              </w:rPr>
              <w:t>-755.3</w:t>
            </w:r>
          </w:p>
        </w:tc>
        <w:tc>
          <w:tcPr>
            <w:tcW w:w="941" w:type="dxa"/>
            <w:tcBorders>
              <w:top w:val="nil"/>
              <w:left w:val="nil"/>
              <w:bottom w:val="nil"/>
              <w:right w:val="nil"/>
            </w:tcBorders>
            <w:shd w:val="clear" w:color="auto" w:fill="auto"/>
            <w:noWrap/>
            <w:vAlign w:val="center"/>
            <w:hideMark/>
          </w:tcPr>
          <w:p w14:paraId="4F162A27" w14:textId="57E17B07" w:rsidR="002F6D59" w:rsidRPr="002F6D59" w:rsidRDefault="002F6D59" w:rsidP="002F6D59">
            <w:pPr>
              <w:jc w:val="center"/>
              <w:rPr>
                <w:rFonts w:eastAsia="Times New Roman" w:cs="Times New Roman"/>
                <w:b/>
                <w:bCs/>
                <w:color w:val="000000"/>
                <w:sz w:val="16"/>
                <w:szCs w:val="16"/>
                <w:lang w:eastAsia="es-GT"/>
              </w:rPr>
            </w:pPr>
            <w:r w:rsidRPr="002F6D59">
              <w:rPr>
                <w:b/>
                <w:bCs/>
                <w:color w:val="000000"/>
                <w:sz w:val="16"/>
                <w:szCs w:val="16"/>
              </w:rPr>
              <w:t>-23.3</w:t>
            </w:r>
          </w:p>
        </w:tc>
      </w:tr>
      <w:tr w:rsidR="002F6D59" w:rsidRPr="00FC4688" w14:paraId="20CDBC1D" w14:textId="227FA230" w:rsidTr="00673937">
        <w:trPr>
          <w:trHeight w:val="264"/>
          <w:jc w:val="center"/>
        </w:trPr>
        <w:tc>
          <w:tcPr>
            <w:tcW w:w="3164" w:type="dxa"/>
            <w:tcBorders>
              <w:top w:val="nil"/>
              <w:left w:val="nil"/>
              <w:bottom w:val="nil"/>
              <w:right w:val="nil"/>
            </w:tcBorders>
            <w:shd w:val="clear" w:color="auto" w:fill="auto"/>
            <w:noWrap/>
            <w:vAlign w:val="center"/>
            <w:hideMark/>
          </w:tcPr>
          <w:p w14:paraId="0442102B" w14:textId="77777777" w:rsidR="002F6D59" w:rsidRPr="00FC4688" w:rsidRDefault="002F6D59" w:rsidP="002F6D59">
            <w:pPr>
              <w:rPr>
                <w:rFonts w:eastAsia="Times New Roman" w:cs="Times New Roman"/>
                <w:b/>
                <w:bCs/>
                <w:color w:val="000000"/>
                <w:sz w:val="16"/>
                <w:szCs w:val="16"/>
                <w:lang w:eastAsia="es-GT"/>
              </w:rPr>
            </w:pPr>
            <w:r w:rsidRPr="00FC4688">
              <w:rPr>
                <w:rFonts w:eastAsia="Times New Roman" w:cs="Times New Roman"/>
                <w:b/>
                <w:bCs/>
                <w:color w:val="000000"/>
                <w:sz w:val="16"/>
                <w:szCs w:val="16"/>
                <w:lang w:eastAsia="es-GT"/>
              </w:rPr>
              <w:t>Préstamo (+) / endeudamiento (-)</w:t>
            </w:r>
          </w:p>
        </w:tc>
        <w:tc>
          <w:tcPr>
            <w:tcW w:w="861" w:type="dxa"/>
            <w:tcBorders>
              <w:top w:val="nil"/>
              <w:left w:val="nil"/>
              <w:bottom w:val="nil"/>
              <w:right w:val="nil"/>
            </w:tcBorders>
            <w:shd w:val="clear" w:color="auto" w:fill="auto"/>
            <w:noWrap/>
            <w:vAlign w:val="center"/>
            <w:hideMark/>
          </w:tcPr>
          <w:p w14:paraId="7572EF06" w14:textId="3D9A5176" w:rsidR="002F6D59" w:rsidRPr="002F6D59" w:rsidRDefault="002F6D59" w:rsidP="002F6D59">
            <w:pPr>
              <w:jc w:val="center"/>
              <w:rPr>
                <w:rFonts w:eastAsia="Times New Roman" w:cs="Times New Roman"/>
                <w:b/>
                <w:bCs/>
                <w:color w:val="000000"/>
                <w:sz w:val="16"/>
                <w:szCs w:val="16"/>
                <w:lang w:eastAsia="es-GT"/>
              </w:rPr>
            </w:pPr>
            <w:r w:rsidRPr="002F6D59">
              <w:rPr>
                <w:b/>
                <w:bCs/>
                <w:color w:val="000000"/>
                <w:sz w:val="16"/>
                <w:szCs w:val="16"/>
              </w:rPr>
              <w:t>1,187.6</w:t>
            </w:r>
          </w:p>
        </w:tc>
        <w:tc>
          <w:tcPr>
            <w:tcW w:w="861" w:type="dxa"/>
            <w:tcBorders>
              <w:top w:val="nil"/>
              <w:left w:val="nil"/>
              <w:bottom w:val="nil"/>
              <w:right w:val="nil"/>
            </w:tcBorders>
            <w:shd w:val="clear" w:color="auto" w:fill="auto"/>
            <w:noWrap/>
            <w:vAlign w:val="center"/>
            <w:hideMark/>
          </w:tcPr>
          <w:p w14:paraId="5548BC3A" w14:textId="38887F43" w:rsidR="002F6D59" w:rsidRPr="002F6D59" w:rsidRDefault="002F6D59" w:rsidP="002F6D59">
            <w:pPr>
              <w:jc w:val="center"/>
              <w:rPr>
                <w:rFonts w:eastAsia="Times New Roman" w:cs="Times New Roman"/>
                <w:b/>
                <w:bCs/>
                <w:color w:val="000000"/>
                <w:sz w:val="16"/>
                <w:szCs w:val="16"/>
                <w:lang w:eastAsia="es-GT"/>
              </w:rPr>
            </w:pPr>
            <w:r w:rsidRPr="002F6D59">
              <w:rPr>
                <w:b/>
                <w:bCs/>
                <w:color w:val="000000"/>
                <w:sz w:val="16"/>
                <w:szCs w:val="16"/>
              </w:rPr>
              <w:t>-174.8</w:t>
            </w:r>
          </w:p>
        </w:tc>
        <w:tc>
          <w:tcPr>
            <w:tcW w:w="861" w:type="dxa"/>
            <w:tcBorders>
              <w:top w:val="nil"/>
              <w:left w:val="dotDash" w:sz="4" w:space="0" w:color="auto"/>
              <w:bottom w:val="nil"/>
              <w:right w:val="nil"/>
            </w:tcBorders>
            <w:shd w:val="clear" w:color="auto" w:fill="auto"/>
            <w:noWrap/>
            <w:vAlign w:val="center"/>
            <w:hideMark/>
          </w:tcPr>
          <w:p w14:paraId="6269F16F" w14:textId="3FB89D93" w:rsidR="002F6D59" w:rsidRPr="002F6D59" w:rsidRDefault="002F6D59" w:rsidP="002F6D59">
            <w:pPr>
              <w:jc w:val="center"/>
              <w:rPr>
                <w:rFonts w:eastAsia="Times New Roman" w:cs="Times New Roman"/>
                <w:b/>
                <w:bCs/>
                <w:color w:val="000000"/>
                <w:sz w:val="16"/>
                <w:szCs w:val="16"/>
                <w:lang w:eastAsia="es-GT"/>
              </w:rPr>
            </w:pPr>
            <w:r w:rsidRPr="002F6D59">
              <w:rPr>
                <w:b/>
                <w:bCs/>
                <w:color w:val="000000"/>
                <w:sz w:val="16"/>
                <w:szCs w:val="16"/>
              </w:rPr>
              <w:t>-1,362.4</w:t>
            </w:r>
          </w:p>
        </w:tc>
        <w:tc>
          <w:tcPr>
            <w:tcW w:w="941" w:type="dxa"/>
            <w:tcBorders>
              <w:top w:val="nil"/>
              <w:left w:val="nil"/>
              <w:bottom w:val="nil"/>
              <w:right w:val="nil"/>
            </w:tcBorders>
            <w:shd w:val="clear" w:color="auto" w:fill="auto"/>
            <w:noWrap/>
            <w:vAlign w:val="center"/>
            <w:hideMark/>
          </w:tcPr>
          <w:p w14:paraId="15600C8A" w14:textId="1D5A034C" w:rsidR="002F6D59" w:rsidRPr="002F6D59" w:rsidRDefault="002F6D59" w:rsidP="002F6D59">
            <w:pPr>
              <w:jc w:val="center"/>
              <w:rPr>
                <w:rFonts w:eastAsia="Times New Roman" w:cs="Times New Roman"/>
                <w:b/>
                <w:bCs/>
                <w:color w:val="000000"/>
                <w:sz w:val="16"/>
                <w:szCs w:val="16"/>
                <w:lang w:eastAsia="es-GT"/>
              </w:rPr>
            </w:pPr>
            <w:r w:rsidRPr="002F6D59">
              <w:rPr>
                <w:b/>
                <w:bCs/>
                <w:color w:val="000000"/>
                <w:sz w:val="16"/>
                <w:szCs w:val="16"/>
              </w:rPr>
              <w:t>-114.7</w:t>
            </w:r>
          </w:p>
        </w:tc>
      </w:tr>
      <w:tr w:rsidR="00673937" w:rsidRPr="00FC4688" w14:paraId="623E528B" w14:textId="601876CC" w:rsidTr="00673937">
        <w:trPr>
          <w:trHeight w:val="264"/>
          <w:jc w:val="center"/>
        </w:trPr>
        <w:tc>
          <w:tcPr>
            <w:tcW w:w="6688" w:type="dxa"/>
            <w:gridSpan w:val="5"/>
            <w:tcBorders>
              <w:top w:val="single" w:sz="8" w:space="0" w:color="auto"/>
              <w:left w:val="nil"/>
              <w:bottom w:val="double" w:sz="6" w:space="0" w:color="auto"/>
              <w:right w:val="nil"/>
            </w:tcBorders>
            <w:shd w:val="clear" w:color="auto" w:fill="auto"/>
            <w:noWrap/>
            <w:vAlign w:val="center"/>
            <w:hideMark/>
          </w:tcPr>
          <w:p w14:paraId="0FB65DEF" w14:textId="77777777" w:rsidR="00673937" w:rsidRPr="00FC4688" w:rsidRDefault="00673937" w:rsidP="003E4789">
            <w:pPr>
              <w:rPr>
                <w:rFonts w:eastAsia="Times New Roman" w:cs="Times New Roman"/>
                <w:color w:val="4472C4"/>
                <w:sz w:val="18"/>
                <w:szCs w:val="18"/>
                <w:lang w:eastAsia="es-GT"/>
              </w:rPr>
            </w:pPr>
            <w:r w:rsidRPr="00FC4688">
              <w:rPr>
                <w:rFonts w:eastAsia="Times New Roman" w:cs="Times New Roman"/>
                <w:color w:val="4472C4"/>
                <w:sz w:val="18"/>
                <w:szCs w:val="18"/>
                <w:lang w:eastAsia="es-GT"/>
              </w:rPr>
              <w:t>TRANSACCIONES EN ACTIVOS Y PASIVOS FINANCIEROS (FINANCIMIENTO)</w:t>
            </w:r>
          </w:p>
        </w:tc>
      </w:tr>
      <w:tr w:rsidR="002F6D59" w:rsidRPr="00FC4688" w14:paraId="0F64AF95" w14:textId="6530705E" w:rsidTr="00673937">
        <w:trPr>
          <w:trHeight w:val="264"/>
          <w:jc w:val="center"/>
        </w:trPr>
        <w:tc>
          <w:tcPr>
            <w:tcW w:w="3164" w:type="dxa"/>
            <w:tcBorders>
              <w:top w:val="nil"/>
              <w:left w:val="nil"/>
              <w:bottom w:val="nil"/>
              <w:right w:val="nil"/>
            </w:tcBorders>
            <w:shd w:val="clear" w:color="auto" w:fill="auto"/>
            <w:noWrap/>
            <w:vAlign w:val="center"/>
            <w:hideMark/>
          </w:tcPr>
          <w:p w14:paraId="0BF18B98" w14:textId="77777777" w:rsidR="002F6D59" w:rsidRPr="00FC4688" w:rsidRDefault="002F6D59" w:rsidP="002F6D59">
            <w:pPr>
              <w:rPr>
                <w:rFonts w:eastAsia="Times New Roman" w:cs="Times New Roman"/>
                <w:b/>
                <w:bCs/>
                <w:color w:val="000000"/>
                <w:sz w:val="16"/>
                <w:szCs w:val="16"/>
                <w:lang w:eastAsia="es-GT"/>
              </w:rPr>
            </w:pPr>
            <w:r w:rsidRPr="00FC4688">
              <w:rPr>
                <w:rFonts w:eastAsia="Times New Roman" w:cs="Times New Roman"/>
                <w:b/>
                <w:bCs/>
                <w:color w:val="000000"/>
                <w:sz w:val="16"/>
                <w:szCs w:val="16"/>
                <w:lang w:eastAsia="es-GT"/>
              </w:rPr>
              <w:t>Adquisición neta de activos financieros</w:t>
            </w:r>
          </w:p>
        </w:tc>
        <w:tc>
          <w:tcPr>
            <w:tcW w:w="861" w:type="dxa"/>
            <w:tcBorders>
              <w:top w:val="nil"/>
              <w:left w:val="nil"/>
              <w:bottom w:val="nil"/>
              <w:right w:val="nil"/>
            </w:tcBorders>
            <w:shd w:val="clear" w:color="auto" w:fill="auto"/>
            <w:noWrap/>
            <w:vAlign w:val="center"/>
            <w:hideMark/>
          </w:tcPr>
          <w:p w14:paraId="4C850BAD" w14:textId="399CCDB5" w:rsidR="002F6D59" w:rsidRPr="002F6D59" w:rsidRDefault="002F6D59" w:rsidP="002F6D59">
            <w:pPr>
              <w:jc w:val="center"/>
              <w:rPr>
                <w:rFonts w:eastAsia="Times New Roman" w:cs="Times New Roman"/>
                <w:b/>
                <w:bCs/>
                <w:color w:val="000000"/>
                <w:sz w:val="16"/>
                <w:szCs w:val="16"/>
                <w:lang w:eastAsia="es-GT"/>
              </w:rPr>
            </w:pPr>
            <w:r w:rsidRPr="002F6D59">
              <w:rPr>
                <w:b/>
                <w:bCs/>
                <w:color w:val="000000"/>
                <w:sz w:val="16"/>
                <w:szCs w:val="16"/>
              </w:rPr>
              <w:t>2,521.1</w:t>
            </w:r>
          </w:p>
        </w:tc>
        <w:tc>
          <w:tcPr>
            <w:tcW w:w="861" w:type="dxa"/>
            <w:tcBorders>
              <w:top w:val="nil"/>
              <w:left w:val="nil"/>
              <w:bottom w:val="nil"/>
              <w:right w:val="nil"/>
            </w:tcBorders>
            <w:shd w:val="clear" w:color="auto" w:fill="auto"/>
            <w:noWrap/>
            <w:vAlign w:val="center"/>
            <w:hideMark/>
          </w:tcPr>
          <w:p w14:paraId="271DD44D" w14:textId="5AF818AC" w:rsidR="002F6D59" w:rsidRPr="002F6D59" w:rsidRDefault="002F6D59" w:rsidP="002F6D59">
            <w:pPr>
              <w:jc w:val="center"/>
              <w:rPr>
                <w:rFonts w:eastAsia="Times New Roman" w:cs="Times New Roman"/>
                <w:b/>
                <w:bCs/>
                <w:color w:val="000000"/>
                <w:sz w:val="16"/>
                <w:szCs w:val="16"/>
                <w:lang w:eastAsia="es-GT"/>
              </w:rPr>
            </w:pPr>
            <w:r w:rsidRPr="002F6D59">
              <w:rPr>
                <w:b/>
                <w:bCs/>
                <w:color w:val="000000"/>
                <w:sz w:val="16"/>
                <w:szCs w:val="16"/>
              </w:rPr>
              <w:t>-3,460.8</w:t>
            </w:r>
          </w:p>
        </w:tc>
        <w:tc>
          <w:tcPr>
            <w:tcW w:w="861" w:type="dxa"/>
            <w:tcBorders>
              <w:top w:val="double" w:sz="6" w:space="0" w:color="auto"/>
              <w:left w:val="dotDash" w:sz="4" w:space="0" w:color="auto"/>
              <w:bottom w:val="nil"/>
              <w:right w:val="nil"/>
            </w:tcBorders>
            <w:shd w:val="clear" w:color="auto" w:fill="auto"/>
            <w:noWrap/>
            <w:vAlign w:val="center"/>
            <w:hideMark/>
          </w:tcPr>
          <w:p w14:paraId="3E664964" w14:textId="3546F897" w:rsidR="002F6D59" w:rsidRPr="002F6D59" w:rsidRDefault="002F6D59" w:rsidP="002F6D59">
            <w:pPr>
              <w:jc w:val="center"/>
              <w:rPr>
                <w:rFonts w:eastAsia="Times New Roman" w:cs="Times New Roman"/>
                <w:b/>
                <w:bCs/>
                <w:color w:val="000000"/>
                <w:sz w:val="16"/>
                <w:szCs w:val="16"/>
                <w:lang w:eastAsia="es-GT"/>
              </w:rPr>
            </w:pPr>
            <w:r w:rsidRPr="002F6D59">
              <w:rPr>
                <w:b/>
                <w:bCs/>
                <w:color w:val="000000"/>
                <w:sz w:val="16"/>
                <w:szCs w:val="16"/>
              </w:rPr>
              <w:t>-5,981.9</w:t>
            </w:r>
          </w:p>
        </w:tc>
        <w:tc>
          <w:tcPr>
            <w:tcW w:w="941" w:type="dxa"/>
            <w:tcBorders>
              <w:top w:val="nil"/>
              <w:left w:val="nil"/>
              <w:bottom w:val="nil"/>
              <w:right w:val="nil"/>
            </w:tcBorders>
            <w:shd w:val="clear" w:color="auto" w:fill="auto"/>
            <w:noWrap/>
            <w:vAlign w:val="center"/>
            <w:hideMark/>
          </w:tcPr>
          <w:p w14:paraId="751A5CBD" w14:textId="796B3133" w:rsidR="002F6D59" w:rsidRPr="002F6D59" w:rsidRDefault="002F6D59" w:rsidP="002F6D59">
            <w:pPr>
              <w:jc w:val="center"/>
              <w:rPr>
                <w:rFonts w:eastAsia="Times New Roman" w:cs="Times New Roman"/>
                <w:b/>
                <w:bCs/>
                <w:color w:val="000000"/>
                <w:sz w:val="16"/>
                <w:szCs w:val="16"/>
                <w:lang w:eastAsia="es-GT"/>
              </w:rPr>
            </w:pPr>
            <w:r w:rsidRPr="002F6D59">
              <w:rPr>
                <w:b/>
                <w:bCs/>
                <w:color w:val="000000"/>
                <w:sz w:val="16"/>
                <w:szCs w:val="16"/>
              </w:rPr>
              <w:t>-237.3</w:t>
            </w:r>
          </w:p>
        </w:tc>
      </w:tr>
      <w:tr w:rsidR="002F6D59" w:rsidRPr="00FC4688" w14:paraId="006B5F4E" w14:textId="54318C8E" w:rsidTr="00673937">
        <w:trPr>
          <w:trHeight w:val="252"/>
          <w:jc w:val="center"/>
        </w:trPr>
        <w:tc>
          <w:tcPr>
            <w:tcW w:w="3164" w:type="dxa"/>
            <w:tcBorders>
              <w:top w:val="nil"/>
              <w:left w:val="nil"/>
              <w:bottom w:val="nil"/>
              <w:right w:val="nil"/>
            </w:tcBorders>
            <w:shd w:val="clear" w:color="auto" w:fill="auto"/>
            <w:noWrap/>
            <w:vAlign w:val="center"/>
            <w:hideMark/>
          </w:tcPr>
          <w:p w14:paraId="24B0906B" w14:textId="77777777" w:rsidR="002F6D59" w:rsidRPr="00FC4688" w:rsidRDefault="002F6D59" w:rsidP="002F6D59">
            <w:pPr>
              <w:ind w:firstLineChars="100" w:firstLine="160"/>
              <w:jc w:val="left"/>
              <w:rPr>
                <w:rFonts w:eastAsia="Times New Roman" w:cs="Times New Roman"/>
                <w:color w:val="000000"/>
                <w:sz w:val="16"/>
                <w:szCs w:val="16"/>
                <w:lang w:eastAsia="es-GT"/>
              </w:rPr>
            </w:pPr>
            <w:r w:rsidRPr="00FC4688">
              <w:rPr>
                <w:rFonts w:eastAsia="Times New Roman" w:cs="Times New Roman"/>
                <w:color w:val="000000"/>
                <w:sz w:val="16"/>
                <w:szCs w:val="16"/>
                <w:lang w:eastAsia="es-GT"/>
              </w:rPr>
              <w:t>Billetes monedas y depósitos</w:t>
            </w:r>
          </w:p>
        </w:tc>
        <w:tc>
          <w:tcPr>
            <w:tcW w:w="861" w:type="dxa"/>
            <w:tcBorders>
              <w:top w:val="nil"/>
              <w:left w:val="nil"/>
              <w:bottom w:val="nil"/>
              <w:right w:val="nil"/>
            </w:tcBorders>
            <w:shd w:val="clear" w:color="auto" w:fill="auto"/>
            <w:noWrap/>
            <w:vAlign w:val="center"/>
            <w:hideMark/>
          </w:tcPr>
          <w:p w14:paraId="24A10F92" w14:textId="08FAE8D3"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2,535.6</w:t>
            </w:r>
          </w:p>
        </w:tc>
        <w:tc>
          <w:tcPr>
            <w:tcW w:w="861" w:type="dxa"/>
            <w:tcBorders>
              <w:top w:val="nil"/>
              <w:left w:val="nil"/>
              <w:bottom w:val="nil"/>
              <w:right w:val="nil"/>
            </w:tcBorders>
            <w:shd w:val="clear" w:color="auto" w:fill="auto"/>
            <w:noWrap/>
            <w:vAlign w:val="center"/>
            <w:hideMark/>
          </w:tcPr>
          <w:p w14:paraId="51DF1E71" w14:textId="6E5DEFA7"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-3,449.8</w:t>
            </w:r>
          </w:p>
        </w:tc>
        <w:tc>
          <w:tcPr>
            <w:tcW w:w="861" w:type="dxa"/>
            <w:tcBorders>
              <w:top w:val="nil"/>
              <w:left w:val="dotDash" w:sz="4" w:space="0" w:color="auto"/>
              <w:bottom w:val="nil"/>
              <w:right w:val="nil"/>
            </w:tcBorders>
            <w:shd w:val="clear" w:color="auto" w:fill="auto"/>
            <w:noWrap/>
            <w:vAlign w:val="center"/>
            <w:hideMark/>
          </w:tcPr>
          <w:p w14:paraId="779FBD0C" w14:textId="6CAC0D7C"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-5,985.3</w:t>
            </w:r>
          </w:p>
        </w:tc>
        <w:tc>
          <w:tcPr>
            <w:tcW w:w="941" w:type="dxa"/>
            <w:tcBorders>
              <w:top w:val="nil"/>
              <w:left w:val="nil"/>
              <w:bottom w:val="nil"/>
              <w:right w:val="nil"/>
            </w:tcBorders>
            <w:shd w:val="clear" w:color="auto" w:fill="auto"/>
            <w:noWrap/>
            <w:vAlign w:val="center"/>
            <w:hideMark/>
          </w:tcPr>
          <w:p w14:paraId="46247A0F" w14:textId="31D85983"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-236.1</w:t>
            </w:r>
          </w:p>
        </w:tc>
      </w:tr>
      <w:tr w:rsidR="002F6D59" w:rsidRPr="00FC4688" w14:paraId="0038A0E3" w14:textId="108CE968" w:rsidTr="00673937">
        <w:trPr>
          <w:trHeight w:val="252"/>
          <w:jc w:val="center"/>
        </w:trPr>
        <w:tc>
          <w:tcPr>
            <w:tcW w:w="3164" w:type="dxa"/>
            <w:tcBorders>
              <w:top w:val="nil"/>
              <w:left w:val="nil"/>
              <w:bottom w:val="nil"/>
              <w:right w:val="nil"/>
            </w:tcBorders>
            <w:shd w:val="clear" w:color="auto" w:fill="auto"/>
            <w:noWrap/>
            <w:vAlign w:val="center"/>
            <w:hideMark/>
          </w:tcPr>
          <w:p w14:paraId="3233DC3F" w14:textId="77777777" w:rsidR="002F6D59" w:rsidRPr="00FC4688" w:rsidRDefault="002F6D59" w:rsidP="002F6D59">
            <w:pPr>
              <w:ind w:firstLineChars="100" w:firstLine="160"/>
              <w:jc w:val="left"/>
              <w:rPr>
                <w:rFonts w:eastAsia="Times New Roman" w:cs="Times New Roman"/>
                <w:color w:val="000000"/>
                <w:sz w:val="16"/>
                <w:szCs w:val="16"/>
                <w:lang w:eastAsia="es-GT"/>
              </w:rPr>
            </w:pPr>
            <w:r w:rsidRPr="00FC4688">
              <w:rPr>
                <w:rFonts w:eastAsia="Times New Roman" w:cs="Times New Roman"/>
                <w:color w:val="000000"/>
                <w:sz w:val="16"/>
                <w:szCs w:val="16"/>
                <w:lang w:eastAsia="es-GT"/>
              </w:rPr>
              <w:t>Préstamos</w:t>
            </w:r>
          </w:p>
        </w:tc>
        <w:tc>
          <w:tcPr>
            <w:tcW w:w="861" w:type="dxa"/>
            <w:tcBorders>
              <w:top w:val="nil"/>
              <w:left w:val="nil"/>
              <w:bottom w:val="nil"/>
              <w:right w:val="nil"/>
            </w:tcBorders>
            <w:shd w:val="clear" w:color="auto" w:fill="auto"/>
            <w:noWrap/>
            <w:vAlign w:val="center"/>
            <w:hideMark/>
          </w:tcPr>
          <w:p w14:paraId="0A953D79" w14:textId="0A350F5B"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-14.5</w:t>
            </w:r>
          </w:p>
        </w:tc>
        <w:tc>
          <w:tcPr>
            <w:tcW w:w="861" w:type="dxa"/>
            <w:tcBorders>
              <w:top w:val="nil"/>
              <w:left w:val="nil"/>
              <w:bottom w:val="nil"/>
              <w:right w:val="nil"/>
            </w:tcBorders>
            <w:shd w:val="clear" w:color="auto" w:fill="auto"/>
            <w:noWrap/>
            <w:vAlign w:val="center"/>
            <w:hideMark/>
          </w:tcPr>
          <w:p w14:paraId="1A640F1B" w14:textId="3B8051F8"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-11.0</w:t>
            </w:r>
          </w:p>
        </w:tc>
        <w:tc>
          <w:tcPr>
            <w:tcW w:w="861" w:type="dxa"/>
            <w:tcBorders>
              <w:top w:val="nil"/>
              <w:left w:val="dotDash" w:sz="4" w:space="0" w:color="auto"/>
              <w:bottom w:val="nil"/>
              <w:right w:val="nil"/>
            </w:tcBorders>
            <w:shd w:val="clear" w:color="auto" w:fill="auto"/>
            <w:noWrap/>
            <w:vAlign w:val="center"/>
            <w:hideMark/>
          </w:tcPr>
          <w:p w14:paraId="0BA44D39" w14:textId="4C8DE4A8"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3.4</w:t>
            </w:r>
          </w:p>
        </w:tc>
        <w:tc>
          <w:tcPr>
            <w:tcW w:w="941" w:type="dxa"/>
            <w:tcBorders>
              <w:top w:val="nil"/>
              <w:left w:val="nil"/>
              <w:bottom w:val="nil"/>
              <w:right w:val="nil"/>
            </w:tcBorders>
            <w:shd w:val="clear" w:color="auto" w:fill="auto"/>
            <w:noWrap/>
            <w:vAlign w:val="center"/>
            <w:hideMark/>
          </w:tcPr>
          <w:p w14:paraId="39334DB3" w14:textId="1875ADF8"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-23.7</w:t>
            </w:r>
          </w:p>
        </w:tc>
      </w:tr>
      <w:tr w:rsidR="002F6D59" w:rsidRPr="00FC4688" w14:paraId="6BBF7F75" w14:textId="584F1C32" w:rsidTr="00673937">
        <w:trPr>
          <w:trHeight w:val="252"/>
          <w:jc w:val="center"/>
        </w:trPr>
        <w:tc>
          <w:tcPr>
            <w:tcW w:w="3164" w:type="dxa"/>
            <w:tcBorders>
              <w:top w:val="nil"/>
              <w:left w:val="nil"/>
              <w:bottom w:val="nil"/>
              <w:right w:val="nil"/>
            </w:tcBorders>
            <w:shd w:val="clear" w:color="auto" w:fill="auto"/>
            <w:noWrap/>
            <w:vAlign w:val="center"/>
            <w:hideMark/>
          </w:tcPr>
          <w:p w14:paraId="1780DFF6" w14:textId="77777777" w:rsidR="002F6D59" w:rsidRPr="00FC4688" w:rsidRDefault="002F6D59" w:rsidP="002F6D59">
            <w:pPr>
              <w:ind w:firstLineChars="100" w:firstLine="160"/>
              <w:jc w:val="left"/>
              <w:rPr>
                <w:rFonts w:eastAsia="Times New Roman" w:cs="Times New Roman"/>
                <w:color w:val="000000"/>
                <w:sz w:val="16"/>
                <w:szCs w:val="16"/>
                <w:lang w:eastAsia="es-GT"/>
              </w:rPr>
            </w:pPr>
            <w:r w:rsidRPr="00FC4688">
              <w:rPr>
                <w:rFonts w:eastAsia="Times New Roman" w:cs="Times New Roman"/>
                <w:color w:val="000000"/>
                <w:sz w:val="16"/>
                <w:szCs w:val="16"/>
                <w:lang w:eastAsia="es-GT"/>
              </w:rPr>
              <w:t>Otros</w:t>
            </w:r>
          </w:p>
        </w:tc>
        <w:tc>
          <w:tcPr>
            <w:tcW w:w="861" w:type="dxa"/>
            <w:tcBorders>
              <w:top w:val="nil"/>
              <w:left w:val="nil"/>
              <w:bottom w:val="nil"/>
              <w:right w:val="nil"/>
            </w:tcBorders>
            <w:shd w:val="clear" w:color="auto" w:fill="auto"/>
            <w:noWrap/>
            <w:vAlign w:val="center"/>
            <w:hideMark/>
          </w:tcPr>
          <w:p w14:paraId="461C9C63" w14:textId="0A17DD21"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0.0</w:t>
            </w:r>
          </w:p>
        </w:tc>
        <w:tc>
          <w:tcPr>
            <w:tcW w:w="861" w:type="dxa"/>
            <w:tcBorders>
              <w:top w:val="nil"/>
              <w:left w:val="nil"/>
              <w:bottom w:val="nil"/>
              <w:right w:val="nil"/>
            </w:tcBorders>
            <w:shd w:val="clear" w:color="auto" w:fill="auto"/>
            <w:noWrap/>
            <w:vAlign w:val="center"/>
            <w:hideMark/>
          </w:tcPr>
          <w:p w14:paraId="52A856C4" w14:textId="7EAB88B9"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0.0</w:t>
            </w:r>
          </w:p>
        </w:tc>
        <w:tc>
          <w:tcPr>
            <w:tcW w:w="861" w:type="dxa"/>
            <w:tcBorders>
              <w:top w:val="nil"/>
              <w:left w:val="dotDash" w:sz="4" w:space="0" w:color="auto"/>
              <w:bottom w:val="nil"/>
              <w:right w:val="nil"/>
            </w:tcBorders>
            <w:shd w:val="clear" w:color="auto" w:fill="auto"/>
            <w:noWrap/>
            <w:vAlign w:val="center"/>
            <w:hideMark/>
          </w:tcPr>
          <w:p w14:paraId="1F15703A" w14:textId="15C6BBA2"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0.0</w:t>
            </w:r>
          </w:p>
        </w:tc>
        <w:tc>
          <w:tcPr>
            <w:tcW w:w="941" w:type="dxa"/>
            <w:tcBorders>
              <w:top w:val="nil"/>
              <w:left w:val="nil"/>
              <w:bottom w:val="nil"/>
              <w:right w:val="nil"/>
            </w:tcBorders>
            <w:shd w:val="clear" w:color="auto" w:fill="auto"/>
            <w:noWrap/>
            <w:vAlign w:val="center"/>
            <w:hideMark/>
          </w:tcPr>
          <w:p w14:paraId="147F1E71" w14:textId="6C8C19DA" w:rsidR="002F6D59" w:rsidRPr="002F6D59" w:rsidRDefault="002F6D59" w:rsidP="002F6D59">
            <w:pPr>
              <w:jc w:val="center"/>
              <w:rPr>
                <w:rFonts w:eastAsia="Times New Roman" w:cs="Times New Roman"/>
                <w:color w:val="000000"/>
                <w:sz w:val="16"/>
                <w:szCs w:val="16"/>
                <w:lang w:eastAsia="es-GT"/>
              </w:rPr>
            </w:pPr>
          </w:p>
        </w:tc>
      </w:tr>
      <w:tr w:rsidR="002F6D59" w:rsidRPr="00FC4688" w14:paraId="2C6A1243" w14:textId="2211AC3B" w:rsidTr="00673937">
        <w:trPr>
          <w:trHeight w:val="252"/>
          <w:jc w:val="center"/>
        </w:trPr>
        <w:tc>
          <w:tcPr>
            <w:tcW w:w="3164" w:type="dxa"/>
            <w:tcBorders>
              <w:top w:val="nil"/>
              <w:left w:val="nil"/>
              <w:bottom w:val="nil"/>
              <w:right w:val="nil"/>
            </w:tcBorders>
            <w:shd w:val="clear" w:color="auto" w:fill="auto"/>
            <w:noWrap/>
            <w:vAlign w:val="center"/>
            <w:hideMark/>
          </w:tcPr>
          <w:p w14:paraId="2C89A45D" w14:textId="77777777" w:rsidR="002F6D59" w:rsidRPr="00FC4688" w:rsidRDefault="002F6D59" w:rsidP="002F6D59">
            <w:pPr>
              <w:rPr>
                <w:rFonts w:eastAsia="Times New Roman" w:cs="Times New Roman"/>
                <w:b/>
                <w:bCs/>
                <w:color w:val="000000"/>
                <w:sz w:val="16"/>
                <w:szCs w:val="16"/>
                <w:lang w:eastAsia="es-GT"/>
              </w:rPr>
            </w:pPr>
            <w:r w:rsidRPr="00FC4688">
              <w:rPr>
                <w:rFonts w:eastAsia="Times New Roman" w:cs="Times New Roman"/>
                <w:b/>
                <w:bCs/>
                <w:color w:val="000000"/>
                <w:sz w:val="16"/>
                <w:szCs w:val="16"/>
                <w:lang w:eastAsia="es-GT"/>
              </w:rPr>
              <w:t>Incurrimiento neto de pasivos</w:t>
            </w:r>
          </w:p>
        </w:tc>
        <w:tc>
          <w:tcPr>
            <w:tcW w:w="861" w:type="dxa"/>
            <w:tcBorders>
              <w:top w:val="nil"/>
              <w:left w:val="nil"/>
              <w:bottom w:val="nil"/>
              <w:right w:val="nil"/>
            </w:tcBorders>
            <w:shd w:val="clear" w:color="auto" w:fill="auto"/>
            <w:noWrap/>
            <w:vAlign w:val="center"/>
            <w:hideMark/>
          </w:tcPr>
          <w:p w14:paraId="37735D2D" w14:textId="4D934C78" w:rsidR="002F6D59" w:rsidRPr="002F6D59" w:rsidRDefault="002F6D59" w:rsidP="002F6D59">
            <w:pPr>
              <w:jc w:val="center"/>
              <w:rPr>
                <w:rFonts w:eastAsia="Times New Roman" w:cs="Times New Roman"/>
                <w:b/>
                <w:bCs/>
                <w:color w:val="000000"/>
                <w:sz w:val="16"/>
                <w:szCs w:val="16"/>
                <w:lang w:eastAsia="es-GT"/>
              </w:rPr>
            </w:pPr>
            <w:r w:rsidRPr="002F6D59">
              <w:rPr>
                <w:b/>
                <w:bCs/>
                <w:color w:val="000000"/>
                <w:sz w:val="16"/>
                <w:szCs w:val="16"/>
              </w:rPr>
              <w:t>2,432.5</w:t>
            </w:r>
          </w:p>
        </w:tc>
        <w:tc>
          <w:tcPr>
            <w:tcW w:w="861" w:type="dxa"/>
            <w:tcBorders>
              <w:top w:val="nil"/>
              <w:left w:val="nil"/>
              <w:bottom w:val="nil"/>
              <w:right w:val="nil"/>
            </w:tcBorders>
            <w:shd w:val="clear" w:color="auto" w:fill="auto"/>
            <w:noWrap/>
            <w:vAlign w:val="center"/>
            <w:hideMark/>
          </w:tcPr>
          <w:p w14:paraId="5FCA5592" w14:textId="639AAD8A" w:rsidR="002F6D59" w:rsidRPr="002F6D59" w:rsidRDefault="002F6D59" w:rsidP="002F6D59">
            <w:pPr>
              <w:jc w:val="center"/>
              <w:rPr>
                <w:rFonts w:eastAsia="Times New Roman" w:cs="Times New Roman"/>
                <w:b/>
                <w:bCs/>
                <w:color w:val="000000"/>
                <w:sz w:val="16"/>
                <w:szCs w:val="16"/>
                <w:lang w:eastAsia="es-GT"/>
              </w:rPr>
            </w:pPr>
            <w:r w:rsidRPr="002F6D59">
              <w:rPr>
                <w:b/>
                <w:bCs/>
                <w:color w:val="000000"/>
                <w:sz w:val="16"/>
                <w:szCs w:val="16"/>
              </w:rPr>
              <w:t>-2,115.9</w:t>
            </w:r>
          </w:p>
        </w:tc>
        <w:tc>
          <w:tcPr>
            <w:tcW w:w="861" w:type="dxa"/>
            <w:tcBorders>
              <w:top w:val="nil"/>
              <w:left w:val="dotDash" w:sz="4" w:space="0" w:color="auto"/>
              <w:bottom w:val="nil"/>
              <w:right w:val="nil"/>
            </w:tcBorders>
            <w:shd w:val="clear" w:color="auto" w:fill="auto"/>
            <w:noWrap/>
            <w:vAlign w:val="center"/>
            <w:hideMark/>
          </w:tcPr>
          <w:p w14:paraId="7041B427" w14:textId="6BEDC719" w:rsidR="002F6D59" w:rsidRPr="002F6D59" w:rsidRDefault="002F6D59" w:rsidP="002F6D59">
            <w:pPr>
              <w:jc w:val="center"/>
              <w:rPr>
                <w:rFonts w:eastAsia="Times New Roman" w:cs="Times New Roman"/>
                <w:b/>
                <w:bCs/>
                <w:color w:val="000000"/>
                <w:sz w:val="16"/>
                <w:szCs w:val="16"/>
                <w:lang w:eastAsia="es-GT"/>
              </w:rPr>
            </w:pPr>
            <w:r w:rsidRPr="002F6D59">
              <w:rPr>
                <w:b/>
                <w:bCs/>
                <w:color w:val="000000"/>
                <w:sz w:val="16"/>
                <w:szCs w:val="16"/>
              </w:rPr>
              <w:t>-4,548.4</w:t>
            </w:r>
          </w:p>
        </w:tc>
        <w:tc>
          <w:tcPr>
            <w:tcW w:w="941" w:type="dxa"/>
            <w:tcBorders>
              <w:top w:val="nil"/>
              <w:left w:val="nil"/>
              <w:bottom w:val="nil"/>
              <w:right w:val="nil"/>
            </w:tcBorders>
            <w:shd w:val="clear" w:color="auto" w:fill="auto"/>
            <w:noWrap/>
            <w:vAlign w:val="center"/>
            <w:hideMark/>
          </w:tcPr>
          <w:p w14:paraId="23A92E83" w14:textId="2C7A22FE" w:rsidR="002F6D59" w:rsidRPr="002F6D59" w:rsidRDefault="002F6D59" w:rsidP="002F6D59">
            <w:pPr>
              <w:jc w:val="center"/>
              <w:rPr>
                <w:rFonts w:eastAsia="Times New Roman" w:cs="Times New Roman"/>
                <w:b/>
                <w:bCs/>
                <w:color w:val="000000"/>
                <w:sz w:val="16"/>
                <w:szCs w:val="16"/>
                <w:lang w:eastAsia="es-GT"/>
              </w:rPr>
            </w:pPr>
            <w:r w:rsidRPr="002F6D59">
              <w:rPr>
                <w:b/>
                <w:bCs/>
                <w:color w:val="000000"/>
                <w:sz w:val="16"/>
                <w:szCs w:val="16"/>
              </w:rPr>
              <w:t>-187.0</w:t>
            </w:r>
          </w:p>
        </w:tc>
      </w:tr>
      <w:tr w:rsidR="002F6D59" w:rsidRPr="00FC4688" w14:paraId="105BB5D5" w14:textId="36CC9054" w:rsidTr="00673937">
        <w:trPr>
          <w:trHeight w:val="252"/>
          <w:jc w:val="center"/>
        </w:trPr>
        <w:tc>
          <w:tcPr>
            <w:tcW w:w="3164" w:type="dxa"/>
            <w:tcBorders>
              <w:top w:val="nil"/>
              <w:left w:val="nil"/>
              <w:bottom w:val="nil"/>
              <w:right w:val="nil"/>
            </w:tcBorders>
            <w:shd w:val="clear" w:color="auto" w:fill="auto"/>
            <w:noWrap/>
            <w:vAlign w:val="center"/>
            <w:hideMark/>
          </w:tcPr>
          <w:p w14:paraId="7C4B506E" w14:textId="77777777" w:rsidR="002F6D59" w:rsidRPr="00FC4688" w:rsidRDefault="002F6D59" w:rsidP="002F6D59">
            <w:pPr>
              <w:ind w:firstLineChars="100" w:firstLine="160"/>
              <w:jc w:val="left"/>
              <w:rPr>
                <w:rFonts w:eastAsia="Times New Roman" w:cs="Times New Roman"/>
                <w:color w:val="000000"/>
                <w:sz w:val="16"/>
                <w:szCs w:val="16"/>
                <w:lang w:eastAsia="es-GT"/>
              </w:rPr>
            </w:pPr>
            <w:r w:rsidRPr="00FC4688">
              <w:rPr>
                <w:rFonts w:eastAsia="Times New Roman" w:cs="Times New Roman"/>
                <w:color w:val="000000"/>
                <w:sz w:val="16"/>
                <w:szCs w:val="16"/>
                <w:lang w:eastAsia="es-GT"/>
              </w:rPr>
              <w:t>Títulos de deuda</w:t>
            </w:r>
          </w:p>
        </w:tc>
        <w:tc>
          <w:tcPr>
            <w:tcW w:w="861" w:type="dxa"/>
            <w:tcBorders>
              <w:top w:val="nil"/>
              <w:left w:val="nil"/>
              <w:bottom w:val="nil"/>
              <w:right w:val="nil"/>
            </w:tcBorders>
            <w:shd w:val="clear" w:color="auto" w:fill="auto"/>
            <w:noWrap/>
            <w:vAlign w:val="center"/>
            <w:hideMark/>
          </w:tcPr>
          <w:p w14:paraId="70597FB9" w14:textId="7F340AC0"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3,377.7</w:t>
            </w:r>
          </w:p>
        </w:tc>
        <w:tc>
          <w:tcPr>
            <w:tcW w:w="861" w:type="dxa"/>
            <w:tcBorders>
              <w:top w:val="nil"/>
              <w:left w:val="nil"/>
              <w:bottom w:val="nil"/>
              <w:right w:val="nil"/>
            </w:tcBorders>
            <w:shd w:val="clear" w:color="auto" w:fill="auto"/>
            <w:noWrap/>
            <w:vAlign w:val="center"/>
            <w:hideMark/>
          </w:tcPr>
          <w:p w14:paraId="3485CE79" w14:textId="6A72D47F"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-1,615.3</w:t>
            </w:r>
          </w:p>
        </w:tc>
        <w:tc>
          <w:tcPr>
            <w:tcW w:w="861" w:type="dxa"/>
            <w:tcBorders>
              <w:top w:val="nil"/>
              <w:left w:val="dotDash" w:sz="4" w:space="0" w:color="auto"/>
              <w:bottom w:val="nil"/>
              <w:right w:val="nil"/>
            </w:tcBorders>
            <w:shd w:val="clear" w:color="auto" w:fill="auto"/>
            <w:noWrap/>
            <w:vAlign w:val="center"/>
            <w:hideMark/>
          </w:tcPr>
          <w:p w14:paraId="0C4ED1F3" w14:textId="3AEFF5EE"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-4,992.9</w:t>
            </w:r>
          </w:p>
        </w:tc>
        <w:tc>
          <w:tcPr>
            <w:tcW w:w="941" w:type="dxa"/>
            <w:tcBorders>
              <w:top w:val="nil"/>
              <w:left w:val="nil"/>
              <w:bottom w:val="nil"/>
              <w:right w:val="nil"/>
            </w:tcBorders>
            <w:shd w:val="clear" w:color="auto" w:fill="auto"/>
            <w:noWrap/>
            <w:vAlign w:val="center"/>
            <w:hideMark/>
          </w:tcPr>
          <w:p w14:paraId="46D91086" w14:textId="656B313E"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-147.8</w:t>
            </w:r>
          </w:p>
        </w:tc>
      </w:tr>
      <w:tr w:rsidR="002F6D59" w:rsidRPr="00FC4688" w14:paraId="0146A179" w14:textId="1D0C2587" w:rsidTr="00673937">
        <w:trPr>
          <w:trHeight w:val="252"/>
          <w:jc w:val="center"/>
        </w:trPr>
        <w:tc>
          <w:tcPr>
            <w:tcW w:w="3164" w:type="dxa"/>
            <w:tcBorders>
              <w:top w:val="nil"/>
              <w:left w:val="nil"/>
              <w:bottom w:val="nil"/>
              <w:right w:val="nil"/>
            </w:tcBorders>
            <w:shd w:val="clear" w:color="auto" w:fill="auto"/>
            <w:noWrap/>
            <w:vAlign w:val="center"/>
            <w:hideMark/>
          </w:tcPr>
          <w:p w14:paraId="295B54FE" w14:textId="77777777" w:rsidR="002F6D59" w:rsidRPr="00FC4688" w:rsidRDefault="002F6D59" w:rsidP="002F6D59">
            <w:pPr>
              <w:ind w:firstLineChars="100" w:firstLine="160"/>
              <w:jc w:val="left"/>
              <w:rPr>
                <w:rFonts w:eastAsia="Times New Roman" w:cs="Times New Roman"/>
                <w:color w:val="000000"/>
                <w:sz w:val="16"/>
                <w:szCs w:val="16"/>
                <w:lang w:eastAsia="es-GT"/>
              </w:rPr>
            </w:pPr>
            <w:r w:rsidRPr="00FC4688">
              <w:rPr>
                <w:rFonts w:eastAsia="Times New Roman" w:cs="Times New Roman"/>
                <w:color w:val="000000"/>
                <w:sz w:val="16"/>
                <w:szCs w:val="16"/>
                <w:lang w:eastAsia="es-GT"/>
              </w:rPr>
              <w:t>Préstamos</w:t>
            </w:r>
          </w:p>
        </w:tc>
        <w:tc>
          <w:tcPr>
            <w:tcW w:w="861" w:type="dxa"/>
            <w:tcBorders>
              <w:top w:val="nil"/>
              <w:left w:val="nil"/>
              <w:bottom w:val="nil"/>
              <w:right w:val="nil"/>
            </w:tcBorders>
            <w:shd w:val="clear" w:color="auto" w:fill="auto"/>
            <w:noWrap/>
            <w:vAlign w:val="center"/>
            <w:hideMark/>
          </w:tcPr>
          <w:p w14:paraId="2FD858FC" w14:textId="111054B9"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-758.1</w:t>
            </w:r>
          </w:p>
        </w:tc>
        <w:tc>
          <w:tcPr>
            <w:tcW w:w="861" w:type="dxa"/>
            <w:tcBorders>
              <w:top w:val="nil"/>
              <w:left w:val="nil"/>
              <w:bottom w:val="nil"/>
              <w:right w:val="nil"/>
            </w:tcBorders>
            <w:shd w:val="clear" w:color="auto" w:fill="auto"/>
            <w:noWrap/>
            <w:vAlign w:val="center"/>
            <w:hideMark/>
          </w:tcPr>
          <w:p w14:paraId="19DA84AE" w14:textId="1C37F2C5"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-350.2</w:t>
            </w:r>
          </w:p>
        </w:tc>
        <w:tc>
          <w:tcPr>
            <w:tcW w:w="861" w:type="dxa"/>
            <w:tcBorders>
              <w:top w:val="nil"/>
              <w:left w:val="dotDash" w:sz="4" w:space="0" w:color="auto"/>
              <w:bottom w:val="nil"/>
              <w:right w:val="nil"/>
            </w:tcBorders>
            <w:shd w:val="clear" w:color="auto" w:fill="auto"/>
            <w:noWrap/>
            <w:vAlign w:val="center"/>
            <w:hideMark/>
          </w:tcPr>
          <w:p w14:paraId="6F20C579" w14:textId="438BB67C"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407.9</w:t>
            </w:r>
          </w:p>
        </w:tc>
        <w:tc>
          <w:tcPr>
            <w:tcW w:w="941" w:type="dxa"/>
            <w:tcBorders>
              <w:top w:val="nil"/>
              <w:left w:val="nil"/>
              <w:bottom w:val="nil"/>
              <w:right w:val="nil"/>
            </w:tcBorders>
            <w:shd w:val="clear" w:color="auto" w:fill="auto"/>
            <w:noWrap/>
            <w:vAlign w:val="center"/>
            <w:hideMark/>
          </w:tcPr>
          <w:p w14:paraId="5744B0FC" w14:textId="176B18BC"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-53.8</w:t>
            </w:r>
          </w:p>
        </w:tc>
      </w:tr>
      <w:tr w:rsidR="002F6D59" w:rsidRPr="00FC4688" w14:paraId="53DE527D" w14:textId="1AEB5FC3" w:rsidTr="00673937">
        <w:trPr>
          <w:trHeight w:val="252"/>
          <w:jc w:val="center"/>
        </w:trPr>
        <w:tc>
          <w:tcPr>
            <w:tcW w:w="3164" w:type="dxa"/>
            <w:tcBorders>
              <w:top w:val="nil"/>
              <w:left w:val="nil"/>
              <w:bottom w:val="nil"/>
              <w:right w:val="nil"/>
            </w:tcBorders>
            <w:shd w:val="clear" w:color="auto" w:fill="auto"/>
            <w:noWrap/>
            <w:vAlign w:val="center"/>
            <w:hideMark/>
          </w:tcPr>
          <w:p w14:paraId="0DAD3DFB" w14:textId="77777777" w:rsidR="002F6D59" w:rsidRPr="00FC4688" w:rsidRDefault="002F6D59" w:rsidP="002F6D59">
            <w:pPr>
              <w:ind w:firstLineChars="100" w:firstLine="160"/>
              <w:jc w:val="left"/>
              <w:rPr>
                <w:rFonts w:eastAsia="Times New Roman" w:cs="Times New Roman"/>
                <w:color w:val="000000"/>
                <w:sz w:val="16"/>
                <w:szCs w:val="16"/>
                <w:lang w:eastAsia="es-GT"/>
              </w:rPr>
            </w:pPr>
            <w:r w:rsidRPr="00FC4688">
              <w:rPr>
                <w:rFonts w:eastAsia="Times New Roman" w:cs="Times New Roman"/>
                <w:color w:val="000000"/>
                <w:sz w:val="16"/>
                <w:szCs w:val="16"/>
                <w:lang w:eastAsia="es-GT"/>
              </w:rPr>
              <w:t>Otros</w:t>
            </w:r>
          </w:p>
        </w:tc>
        <w:tc>
          <w:tcPr>
            <w:tcW w:w="861" w:type="dxa"/>
            <w:tcBorders>
              <w:top w:val="nil"/>
              <w:left w:val="nil"/>
              <w:bottom w:val="nil"/>
              <w:right w:val="nil"/>
            </w:tcBorders>
            <w:shd w:val="clear" w:color="auto" w:fill="auto"/>
            <w:noWrap/>
            <w:vAlign w:val="center"/>
            <w:hideMark/>
          </w:tcPr>
          <w:p w14:paraId="4A2F814E" w14:textId="689A59B1"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-187.1</w:t>
            </w:r>
          </w:p>
        </w:tc>
        <w:tc>
          <w:tcPr>
            <w:tcW w:w="861" w:type="dxa"/>
            <w:tcBorders>
              <w:top w:val="nil"/>
              <w:left w:val="nil"/>
              <w:bottom w:val="nil"/>
              <w:right w:val="nil"/>
            </w:tcBorders>
            <w:shd w:val="clear" w:color="auto" w:fill="auto"/>
            <w:noWrap/>
            <w:vAlign w:val="center"/>
            <w:hideMark/>
          </w:tcPr>
          <w:p w14:paraId="1B805861" w14:textId="4E53D9EE"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-150.4</w:t>
            </w:r>
          </w:p>
        </w:tc>
        <w:tc>
          <w:tcPr>
            <w:tcW w:w="861" w:type="dxa"/>
            <w:tcBorders>
              <w:top w:val="nil"/>
              <w:left w:val="dotDash" w:sz="4" w:space="0" w:color="auto"/>
              <w:bottom w:val="nil"/>
              <w:right w:val="nil"/>
            </w:tcBorders>
            <w:shd w:val="clear" w:color="auto" w:fill="auto"/>
            <w:noWrap/>
            <w:vAlign w:val="center"/>
            <w:hideMark/>
          </w:tcPr>
          <w:p w14:paraId="25CB4487" w14:textId="7FFB5261"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36.7</w:t>
            </w:r>
          </w:p>
        </w:tc>
        <w:tc>
          <w:tcPr>
            <w:tcW w:w="941" w:type="dxa"/>
            <w:tcBorders>
              <w:top w:val="nil"/>
              <w:left w:val="nil"/>
              <w:bottom w:val="nil"/>
              <w:right w:val="nil"/>
            </w:tcBorders>
            <w:shd w:val="clear" w:color="auto" w:fill="auto"/>
            <w:noWrap/>
            <w:vAlign w:val="center"/>
            <w:hideMark/>
          </w:tcPr>
          <w:p w14:paraId="0210A6DE" w14:textId="3F77888E" w:rsidR="002F6D59" w:rsidRPr="002F6D59" w:rsidRDefault="002F6D59" w:rsidP="002F6D59">
            <w:pPr>
              <w:jc w:val="center"/>
              <w:rPr>
                <w:rFonts w:eastAsia="Times New Roman" w:cs="Times New Roman"/>
                <w:color w:val="000000"/>
                <w:sz w:val="16"/>
                <w:szCs w:val="16"/>
                <w:lang w:eastAsia="es-GT"/>
              </w:rPr>
            </w:pPr>
            <w:r w:rsidRPr="002F6D59">
              <w:rPr>
                <w:color w:val="000000"/>
                <w:sz w:val="16"/>
                <w:szCs w:val="16"/>
              </w:rPr>
              <w:t>-19.6</w:t>
            </w:r>
          </w:p>
        </w:tc>
      </w:tr>
      <w:tr w:rsidR="002F6D59" w:rsidRPr="00FC4688" w14:paraId="2B640124" w14:textId="4FB54084" w:rsidTr="00673937">
        <w:trPr>
          <w:trHeight w:val="252"/>
          <w:jc w:val="center"/>
        </w:trPr>
        <w:tc>
          <w:tcPr>
            <w:tcW w:w="3164" w:type="dxa"/>
            <w:tcBorders>
              <w:top w:val="nil"/>
              <w:left w:val="nil"/>
              <w:bottom w:val="nil"/>
              <w:right w:val="nil"/>
            </w:tcBorders>
            <w:shd w:val="clear" w:color="auto" w:fill="auto"/>
            <w:noWrap/>
            <w:vAlign w:val="center"/>
            <w:hideMark/>
          </w:tcPr>
          <w:p w14:paraId="130F55F7" w14:textId="77777777" w:rsidR="002F6D59" w:rsidRPr="00FC4688" w:rsidRDefault="002F6D59" w:rsidP="002F6D59">
            <w:pPr>
              <w:rPr>
                <w:rFonts w:eastAsia="Times New Roman" w:cs="Times New Roman"/>
                <w:b/>
                <w:bCs/>
                <w:color w:val="000000"/>
                <w:sz w:val="16"/>
                <w:szCs w:val="16"/>
                <w:lang w:eastAsia="es-GT"/>
              </w:rPr>
            </w:pPr>
            <w:r w:rsidRPr="00FC4688">
              <w:rPr>
                <w:rFonts w:eastAsia="Times New Roman" w:cs="Times New Roman"/>
                <w:b/>
                <w:bCs/>
                <w:color w:val="000000"/>
                <w:sz w:val="16"/>
                <w:szCs w:val="16"/>
                <w:lang w:eastAsia="es-GT"/>
              </w:rPr>
              <w:t>Discrepancia estadística global</w:t>
            </w:r>
          </w:p>
        </w:tc>
        <w:tc>
          <w:tcPr>
            <w:tcW w:w="861" w:type="dxa"/>
            <w:tcBorders>
              <w:top w:val="nil"/>
              <w:left w:val="nil"/>
              <w:bottom w:val="nil"/>
              <w:right w:val="nil"/>
            </w:tcBorders>
            <w:shd w:val="clear" w:color="auto" w:fill="auto"/>
            <w:noWrap/>
            <w:vAlign w:val="center"/>
            <w:hideMark/>
          </w:tcPr>
          <w:p w14:paraId="4E6192F6" w14:textId="132F51D5" w:rsidR="002F6D59" w:rsidRPr="002F6D59" w:rsidRDefault="002F6D59" w:rsidP="002F6D59">
            <w:pPr>
              <w:jc w:val="center"/>
              <w:rPr>
                <w:rFonts w:eastAsia="Times New Roman" w:cs="Times New Roman"/>
                <w:b/>
                <w:bCs/>
                <w:color w:val="000000"/>
                <w:sz w:val="16"/>
                <w:szCs w:val="16"/>
                <w:lang w:eastAsia="es-GT"/>
              </w:rPr>
            </w:pPr>
            <w:r w:rsidRPr="002F6D59">
              <w:rPr>
                <w:b/>
                <w:bCs/>
                <w:color w:val="000000"/>
                <w:sz w:val="16"/>
                <w:szCs w:val="16"/>
              </w:rPr>
              <w:t>-1,099.0</w:t>
            </w:r>
          </w:p>
        </w:tc>
        <w:tc>
          <w:tcPr>
            <w:tcW w:w="861" w:type="dxa"/>
            <w:tcBorders>
              <w:top w:val="nil"/>
              <w:left w:val="nil"/>
              <w:bottom w:val="nil"/>
              <w:right w:val="nil"/>
            </w:tcBorders>
            <w:shd w:val="clear" w:color="auto" w:fill="auto"/>
            <w:noWrap/>
            <w:vAlign w:val="center"/>
            <w:hideMark/>
          </w:tcPr>
          <w:p w14:paraId="104FC3FB" w14:textId="0B489A03" w:rsidR="002F6D59" w:rsidRPr="002F6D59" w:rsidRDefault="002F6D59" w:rsidP="002F6D59">
            <w:pPr>
              <w:jc w:val="center"/>
              <w:rPr>
                <w:rFonts w:eastAsia="Times New Roman" w:cs="Times New Roman"/>
                <w:b/>
                <w:bCs/>
                <w:color w:val="000000"/>
                <w:sz w:val="16"/>
                <w:szCs w:val="16"/>
                <w:lang w:eastAsia="es-GT"/>
              </w:rPr>
            </w:pPr>
            <w:r w:rsidRPr="002F6D59">
              <w:rPr>
                <w:b/>
                <w:bCs/>
                <w:color w:val="000000"/>
                <w:sz w:val="16"/>
                <w:szCs w:val="16"/>
              </w:rPr>
              <w:t>-1,170.1</w:t>
            </w:r>
          </w:p>
        </w:tc>
        <w:tc>
          <w:tcPr>
            <w:tcW w:w="861" w:type="dxa"/>
            <w:tcBorders>
              <w:top w:val="nil"/>
              <w:left w:val="dotDash" w:sz="4" w:space="0" w:color="auto"/>
              <w:bottom w:val="nil"/>
              <w:right w:val="nil"/>
            </w:tcBorders>
            <w:shd w:val="clear" w:color="auto" w:fill="auto"/>
            <w:noWrap/>
            <w:vAlign w:val="center"/>
            <w:hideMark/>
          </w:tcPr>
          <w:p w14:paraId="5F1E3B24" w14:textId="4195FDF0" w:rsidR="002F6D59" w:rsidRPr="002F6D59" w:rsidRDefault="002F6D59" w:rsidP="002F6D59">
            <w:pPr>
              <w:jc w:val="center"/>
              <w:rPr>
                <w:rFonts w:eastAsia="Times New Roman" w:cs="Times New Roman"/>
                <w:b/>
                <w:bCs/>
                <w:color w:val="000000"/>
                <w:sz w:val="16"/>
                <w:szCs w:val="16"/>
                <w:lang w:eastAsia="es-GT"/>
              </w:rPr>
            </w:pPr>
            <w:r w:rsidRPr="002F6D59">
              <w:rPr>
                <w:b/>
                <w:bCs/>
                <w:color w:val="000000"/>
                <w:sz w:val="16"/>
                <w:szCs w:val="16"/>
              </w:rPr>
              <w:t>-71.2</w:t>
            </w:r>
          </w:p>
        </w:tc>
        <w:tc>
          <w:tcPr>
            <w:tcW w:w="941" w:type="dxa"/>
            <w:tcBorders>
              <w:top w:val="nil"/>
              <w:left w:val="nil"/>
              <w:bottom w:val="nil"/>
              <w:right w:val="nil"/>
            </w:tcBorders>
            <w:shd w:val="clear" w:color="auto" w:fill="auto"/>
            <w:noWrap/>
            <w:vAlign w:val="center"/>
            <w:hideMark/>
          </w:tcPr>
          <w:p w14:paraId="25CFAE72" w14:textId="38DAEA86" w:rsidR="002F6D59" w:rsidRPr="002F6D59" w:rsidRDefault="002F6D59" w:rsidP="002F6D59">
            <w:pPr>
              <w:jc w:val="center"/>
              <w:rPr>
                <w:rFonts w:eastAsia="Times New Roman" w:cs="Times New Roman"/>
                <w:b/>
                <w:bCs/>
                <w:color w:val="000000"/>
                <w:sz w:val="16"/>
                <w:szCs w:val="16"/>
                <w:lang w:eastAsia="es-GT"/>
              </w:rPr>
            </w:pPr>
            <w:r w:rsidRPr="002F6D59">
              <w:rPr>
                <w:b/>
                <w:bCs/>
                <w:color w:val="000000"/>
                <w:sz w:val="16"/>
                <w:szCs w:val="16"/>
              </w:rPr>
              <w:t>6.5</w:t>
            </w:r>
          </w:p>
        </w:tc>
      </w:tr>
    </w:tbl>
    <w:p w14:paraId="0A0D6136" w14:textId="77777777" w:rsidR="002B75BA" w:rsidRDefault="002B75BA" w:rsidP="002B75BA">
      <w:pPr>
        <w:ind w:firstLine="708"/>
        <w:rPr>
          <w:rFonts w:cs="Times New Roman"/>
          <w:sz w:val="16"/>
          <w:szCs w:val="22"/>
          <w:lang w:val="es-MX"/>
        </w:rPr>
      </w:pPr>
    </w:p>
    <w:p w14:paraId="3350F89B" w14:textId="7F5F675D" w:rsidR="003C303F" w:rsidRPr="00FC4688" w:rsidRDefault="003C303F" w:rsidP="002B75BA">
      <w:pPr>
        <w:ind w:firstLine="708"/>
        <w:rPr>
          <w:rFonts w:cs="Times New Roman"/>
          <w:sz w:val="16"/>
          <w:szCs w:val="22"/>
          <w:lang w:val="es-MX"/>
        </w:rPr>
      </w:pPr>
      <w:r w:rsidRPr="00FC4688">
        <w:rPr>
          <w:rFonts w:cs="Times New Roman"/>
          <w:sz w:val="16"/>
          <w:szCs w:val="22"/>
          <w:lang w:val="es-MX"/>
        </w:rPr>
        <w:t>*Cifras preliminares</w:t>
      </w:r>
    </w:p>
    <w:p w14:paraId="445E1632" w14:textId="77777777" w:rsidR="003C303F" w:rsidRDefault="003C303F" w:rsidP="002B75BA">
      <w:pPr>
        <w:ind w:firstLine="708"/>
        <w:rPr>
          <w:rFonts w:cs="Times New Roman"/>
          <w:sz w:val="16"/>
          <w:szCs w:val="22"/>
          <w:lang w:val="es-MX"/>
        </w:rPr>
      </w:pPr>
      <w:r w:rsidRPr="00FC4688">
        <w:rPr>
          <w:rFonts w:cs="Times New Roman"/>
          <w:sz w:val="16"/>
          <w:szCs w:val="22"/>
          <w:lang w:val="es-MX"/>
        </w:rPr>
        <w:t>Fuente: MINFIN</w:t>
      </w:r>
    </w:p>
    <w:p w14:paraId="6886455E" w14:textId="77777777" w:rsidR="006939D7" w:rsidRPr="00BF230D" w:rsidRDefault="006939D7" w:rsidP="007105EE">
      <w:pPr>
        <w:ind w:left="1134"/>
        <w:rPr>
          <w:rFonts w:cs="Times New Roman"/>
          <w:sz w:val="16"/>
          <w:szCs w:val="22"/>
          <w:lang w:val="es-MX"/>
        </w:rPr>
      </w:pPr>
    </w:p>
    <w:sectPr w:rsidR="006939D7" w:rsidRPr="00BF230D" w:rsidSect="0032077E">
      <w:headerReference w:type="default" r:id="rId46"/>
      <w:footerReference w:type="default" r:id="rId47"/>
      <w:headerReference w:type="first" r:id="rId48"/>
      <w:footerReference w:type="first" r:id="rId49"/>
      <w:type w:val="continuous"/>
      <w:pgSz w:w="12240" w:h="15840" w:code="1"/>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0081" w14:textId="77777777" w:rsidR="00002CCD" w:rsidRDefault="00002CCD" w:rsidP="000B5E1C">
      <w:r>
        <w:separator/>
      </w:r>
    </w:p>
  </w:endnote>
  <w:endnote w:type="continuationSeparator" w:id="0">
    <w:p w14:paraId="3B337EFE" w14:textId="77777777" w:rsidR="00002CCD" w:rsidRDefault="00002CCD" w:rsidP="000B5E1C">
      <w:r>
        <w:continuationSeparator/>
      </w:r>
    </w:p>
  </w:endnote>
  <w:endnote w:type="continuationNotice" w:id="1">
    <w:p w14:paraId="0E4CC85D" w14:textId="77777777" w:rsidR="00002CCD" w:rsidRDefault="00002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i/>
        <w:color w:val="1F497D" w:themeColor="text2"/>
        <w:lang w:val="es-ES"/>
      </w:rPr>
      <w:id w:val="1089358670"/>
      <w:docPartObj>
        <w:docPartGallery w:val="Page Numbers (Bottom of Page)"/>
        <w:docPartUnique/>
      </w:docPartObj>
    </w:sdtPr>
    <w:sdtEndPr/>
    <w:sdtContent>
      <w:p w14:paraId="040AFEF9" w14:textId="77777777" w:rsidR="000A5B5B" w:rsidRPr="00AC45C7" w:rsidRDefault="000A5B5B">
        <w:pPr>
          <w:pStyle w:val="Piedepgina"/>
          <w:jc w:val="right"/>
          <w:rPr>
            <w:rFonts w:cs="Times New Roman"/>
            <w:i/>
            <w:color w:val="1F497D" w:themeColor="text2"/>
          </w:rPr>
        </w:pPr>
        <w:r>
          <w:rPr>
            <w:rFonts w:cs="Times New Roman"/>
            <w:i/>
            <w:noProof/>
            <w:color w:val="1F497D" w:themeColor="text2"/>
            <w:lang w:eastAsia="es-GT"/>
          </w:rPr>
          <mc:AlternateContent>
            <mc:Choice Requires="wps">
              <w:drawing>
                <wp:anchor distT="0" distB="0" distL="114300" distR="114300" simplePos="0" relativeHeight="251658240" behindDoc="0" locked="0" layoutInCell="1" allowOverlap="1" wp14:anchorId="1B4743A9" wp14:editId="17FB757A">
                  <wp:simplePos x="0" y="0"/>
                  <wp:positionH relativeFrom="column">
                    <wp:posOffset>77580</wp:posOffset>
                  </wp:positionH>
                  <wp:positionV relativeFrom="paragraph">
                    <wp:posOffset>-58006</wp:posOffset>
                  </wp:positionV>
                  <wp:extent cx="6027089" cy="47708"/>
                  <wp:effectExtent l="0" t="0" r="12065" b="28575"/>
                  <wp:wrapNone/>
                  <wp:docPr id="43" name="43 Rectángulo"/>
                  <wp:cNvGraphicFramePr/>
                  <a:graphic xmlns:a="http://schemas.openxmlformats.org/drawingml/2006/main">
                    <a:graphicData uri="http://schemas.microsoft.com/office/word/2010/wordprocessingShape">
                      <wps:wsp>
                        <wps:cNvSpPr/>
                        <wps:spPr>
                          <a:xfrm>
                            <a:off x="0" y="0"/>
                            <a:ext cx="6027089" cy="47708"/>
                          </a:xfrm>
                          <a:prstGeom prst="rect">
                            <a:avLst/>
                          </a:prstGeom>
                          <a:gradFill flip="none" rotWithShape="1">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0" scaled="0"/>
                            <a:tileRect/>
                          </a:gradFill>
                          <a:ln>
                            <a:gradFill>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5CDC03" id="43 Rectángulo" o:spid="_x0000_s1026" style="position:absolute;margin-left:6.1pt;margin-top:-4.55pt;width:474.55pt;height:3.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" fillcolor="#8aabd3 [2132]" strokeweight="2pt">
                  <v:fill color2="#f2f2f2 [3052]" rotate="t" angle="90" colors="0 #9ab5e4;50463f #c2d1ed;58327f #e1e8f5;64881f #f2f2f2" focus="100%" type="gradient">
                    <o:fill v:ext="view" type="gradientUnscaled"/>
                  </v:fill>
                </v:rect>
              </w:pict>
            </mc:Fallback>
          </mc:AlternateContent>
        </w:r>
        <w:r w:rsidRPr="00AC45C7">
          <w:rPr>
            <w:rFonts w:cs="Times New Roman"/>
            <w:i/>
            <w:color w:val="1F497D" w:themeColor="text2"/>
            <w:lang w:val="es-ES"/>
          </w:rPr>
          <w:t xml:space="preserve">Página | </w:t>
        </w:r>
        <w:r w:rsidRPr="00AC45C7">
          <w:rPr>
            <w:rFonts w:cs="Times New Roman"/>
            <w:i/>
            <w:color w:val="1F497D" w:themeColor="text2"/>
          </w:rPr>
          <w:fldChar w:fldCharType="begin"/>
        </w:r>
        <w:r w:rsidRPr="00AC45C7">
          <w:rPr>
            <w:rFonts w:cs="Times New Roman"/>
            <w:i/>
            <w:color w:val="1F497D" w:themeColor="text2"/>
          </w:rPr>
          <w:instrText>PAGE   \* MERGEFORMAT</w:instrText>
        </w:r>
        <w:r w:rsidRPr="00AC45C7">
          <w:rPr>
            <w:rFonts w:cs="Times New Roman"/>
            <w:i/>
            <w:color w:val="1F497D" w:themeColor="text2"/>
          </w:rPr>
          <w:fldChar w:fldCharType="separate"/>
        </w:r>
        <w:r w:rsidR="004A5583" w:rsidRPr="004A5583">
          <w:rPr>
            <w:rFonts w:cs="Times New Roman"/>
            <w:i/>
            <w:noProof/>
            <w:color w:val="1F497D" w:themeColor="text2"/>
            <w:lang w:val="es-ES"/>
          </w:rPr>
          <w:t>11</w:t>
        </w:r>
        <w:r w:rsidRPr="00AC45C7">
          <w:rPr>
            <w:rFonts w:cs="Times New Roman"/>
            <w:i/>
            <w:color w:val="1F497D" w:themeColor="text2"/>
          </w:rPr>
          <w:fldChar w:fldCharType="end"/>
        </w:r>
        <w:r w:rsidRPr="00AC45C7">
          <w:rPr>
            <w:rFonts w:cs="Times New Roman"/>
            <w:i/>
            <w:color w:val="1F497D" w:themeColor="text2"/>
            <w:lang w:val="es-ES"/>
          </w:rPr>
          <w:t xml:space="preserve"> </w:t>
        </w:r>
      </w:p>
    </w:sdtContent>
  </w:sdt>
  <w:p w14:paraId="34E4454A" w14:textId="0BD39E2C" w:rsidR="000A5B5B" w:rsidRPr="00D5619D" w:rsidRDefault="0022750D" w:rsidP="003813F7">
    <w:pPr>
      <w:pStyle w:val="Piedepgina"/>
      <w:tabs>
        <w:tab w:val="clear" w:pos="8838"/>
        <w:tab w:val="left" w:pos="5173"/>
      </w:tabs>
      <w:rPr>
        <w:rFonts w:cs="Times New Roman"/>
        <w:i/>
        <w:color w:val="1F497D" w:themeColor="text2"/>
      </w:rPr>
    </w:pPr>
    <w:r>
      <w:rPr>
        <w:noProof/>
      </w:rPr>
      <w:drawing>
        <wp:anchor distT="0" distB="0" distL="114300" distR="114300" simplePos="0" relativeHeight="251660290" behindDoc="1" locked="0" layoutInCell="1" allowOverlap="1" wp14:anchorId="7D7C2533" wp14:editId="61BA7BB3">
          <wp:simplePos x="0" y="0"/>
          <wp:positionH relativeFrom="column">
            <wp:posOffset>-204717</wp:posOffset>
          </wp:positionH>
          <wp:positionV relativeFrom="paragraph">
            <wp:posOffset>678313</wp:posOffset>
          </wp:positionV>
          <wp:extent cx="2064385" cy="108394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064385" cy="1083945"/>
                  </a:xfrm>
                  <a:prstGeom prst="rect">
                    <a:avLst/>
                  </a:prstGeom>
                </pic:spPr>
              </pic:pic>
            </a:graphicData>
          </a:graphic>
          <wp14:sizeRelH relativeFrom="page">
            <wp14:pctWidth>0</wp14:pctWidth>
          </wp14:sizeRelH>
          <wp14:sizeRelV relativeFrom="page">
            <wp14:pctHeight>0</wp14:pctHeight>
          </wp14:sizeRelV>
        </wp:anchor>
      </w:drawing>
    </w:r>
    <w:r w:rsidR="000A5B5B" w:rsidRPr="00D5619D">
      <w:rPr>
        <w:rFonts w:cs="Times New Roman"/>
        <w:i/>
        <w:color w:val="1F497D" w:themeColor="text2"/>
      </w:rPr>
      <w:t>Informe d</w:t>
    </w:r>
    <w:r w:rsidR="000A5B5B">
      <w:rPr>
        <w:rFonts w:cs="Times New Roman"/>
        <w:i/>
        <w:color w:val="1F497D" w:themeColor="text2"/>
      </w:rPr>
      <w:t xml:space="preserve">e las Finanzas Públicas </w:t>
    </w:r>
    <w:r w:rsidR="004869FF">
      <w:rPr>
        <w:rFonts w:cs="Times New Roman"/>
        <w:i/>
        <w:color w:val="1F497D" w:themeColor="text2"/>
      </w:rPr>
      <w:t>–</w:t>
    </w:r>
    <w:r w:rsidR="000A5B5B">
      <w:rPr>
        <w:rFonts w:cs="Times New Roman"/>
        <w:i/>
        <w:color w:val="1F497D" w:themeColor="text2"/>
      </w:rPr>
      <w:t xml:space="preserve"> </w:t>
    </w:r>
    <w:r w:rsidR="005557C8">
      <w:rPr>
        <w:rFonts w:cs="Times New Roman"/>
        <w:i/>
        <w:color w:val="1F497D" w:themeColor="text2"/>
      </w:rPr>
      <w:t>Primer Trimestre</w:t>
    </w:r>
    <w:r w:rsidR="004869FF">
      <w:rPr>
        <w:rFonts w:cs="Times New Roman"/>
        <w:i/>
        <w:color w:val="1F497D" w:themeColor="text2"/>
      </w:rPr>
      <w:t xml:space="preserve"> 202</w:t>
    </w:r>
    <w:r w:rsidR="005557C8">
      <w:rPr>
        <w:rFonts w:cs="Times New Roman"/>
        <w:i/>
        <w:color w:val="1F497D" w:themeColor="text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AAF1" w14:textId="77777777" w:rsidR="000A5B5B" w:rsidRDefault="000A5B5B">
    <w:pPr>
      <w:pStyle w:val="Piedepgina"/>
    </w:pPr>
    <w:r>
      <w:rPr>
        <w:rFonts w:cs="Times New Roman"/>
        <w:i/>
        <w:noProof/>
        <w:color w:val="1F497D" w:themeColor="text2"/>
        <w:lang w:eastAsia="es-GT"/>
      </w:rPr>
      <mc:AlternateContent>
        <mc:Choice Requires="wps">
          <w:drawing>
            <wp:anchor distT="0" distB="0" distL="114300" distR="114300" simplePos="0" relativeHeight="251658242" behindDoc="0" locked="0" layoutInCell="1" allowOverlap="1" wp14:anchorId="2C67F3FC" wp14:editId="2B07D3AE">
              <wp:simplePos x="0" y="0"/>
              <wp:positionH relativeFrom="column">
                <wp:posOffset>77580</wp:posOffset>
              </wp:positionH>
              <wp:positionV relativeFrom="paragraph">
                <wp:posOffset>-206568</wp:posOffset>
              </wp:positionV>
              <wp:extent cx="5931315" cy="47625"/>
              <wp:effectExtent l="0" t="0" r="12700" b="28575"/>
              <wp:wrapNone/>
              <wp:docPr id="45" name="45 Rectángulo"/>
              <wp:cNvGraphicFramePr/>
              <a:graphic xmlns:a="http://schemas.openxmlformats.org/drawingml/2006/main">
                <a:graphicData uri="http://schemas.microsoft.com/office/word/2010/wordprocessingShape">
                  <wps:wsp>
                    <wps:cNvSpPr/>
                    <wps:spPr>
                      <a:xfrm>
                        <a:off x="0" y="0"/>
                        <a:ext cx="5931315" cy="47625"/>
                      </a:xfrm>
                      <a:prstGeom prst="rect">
                        <a:avLst/>
                      </a:prstGeom>
                      <a:gradFill flip="none" rotWithShape="1">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0" scaled="0"/>
                        <a:tileRect/>
                      </a:gradFill>
                      <a:ln>
                        <a:gradFill>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975EB5" id="45 Rectángulo" o:spid="_x0000_s1026" style="position:absolute;margin-left:6.1pt;margin-top:-16.25pt;width:467.05pt;height:3.7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" fillcolor="#8aabd3 [2132]" strokeweight="2pt">
              <v:fill color2="#f2f2f2 [3052]" rotate="t" angle="90" colors="0 #9ab5e4;50463f #c2d1ed;58327f #e1e8f5;64881f #f2f2f2" focus="100%" type="gradient">
                <o:fill v:ext="view" type="gradientUnscaled"/>
              </v:fill>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DC3E" w14:textId="77777777" w:rsidR="00002CCD" w:rsidRDefault="00002CCD" w:rsidP="000B5E1C">
      <w:r>
        <w:separator/>
      </w:r>
    </w:p>
  </w:footnote>
  <w:footnote w:type="continuationSeparator" w:id="0">
    <w:p w14:paraId="332F8225" w14:textId="77777777" w:rsidR="00002CCD" w:rsidRDefault="00002CCD" w:rsidP="000B5E1C">
      <w:r>
        <w:continuationSeparator/>
      </w:r>
    </w:p>
  </w:footnote>
  <w:footnote w:type="continuationNotice" w:id="1">
    <w:p w14:paraId="6CA1039C" w14:textId="77777777" w:rsidR="00002CCD" w:rsidRDefault="00002C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714C" w14:textId="1A52902C" w:rsidR="000A5B5B" w:rsidRPr="00AC45C7" w:rsidRDefault="0022750D" w:rsidP="00AC45C7">
    <w:pPr>
      <w:pStyle w:val="Encabezado"/>
      <w:jc w:val="right"/>
      <w:rPr>
        <w:rFonts w:cs="Times New Roman"/>
        <w:i/>
        <w:color w:val="1F497D" w:themeColor="text2"/>
      </w:rPr>
    </w:pPr>
    <w:r>
      <w:rPr>
        <w:noProof/>
      </w:rPr>
      <w:drawing>
        <wp:anchor distT="0" distB="0" distL="114300" distR="114300" simplePos="0" relativeHeight="251662338" behindDoc="1" locked="0" layoutInCell="1" allowOverlap="1" wp14:anchorId="6C71B156" wp14:editId="74C176C9">
          <wp:simplePos x="0" y="0"/>
          <wp:positionH relativeFrom="column">
            <wp:posOffset>-154144</wp:posOffset>
          </wp:positionH>
          <wp:positionV relativeFrom="paragraph">
            <wp:posOffset>-292735</wp:posOffset>
          </wp:positionV>
          <wp:extent cx="1403584" cy="736979"/>
          <wp:effectExtent l="0" t="0" r="0" b="0"/>
          <wp:wrapNone/>
          <wp:docPr id="861922572" name="Imagen 86192257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922572" name="Imagen 861922572"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03584" cy="736979"/>
                  </a:xfrm>
                  <a:prstGeom prst="rect">
                    <a:avLst/>
                  </a:prstGeom>
                </pic:spPr>
              </pic:pic>
            </a:graphicData>
          </a:graphic>
          <wp14:sizeRelH relativeFrom="page">
            <wp14:pctWidth>0</wp14:pctWidth>
          </wp14:sizeRelH>
          <wp14:sizeRelV relativeFrom="page">
            <wp14:pctHeight>0</wp14:pctHeight>
          </wp14:sizeRelV>
        </wp:anchor>
      </w:drawing>
    </w:r>
    <w:r w:rsidR="000A5B5B">
      <w:rPr>
        <w:rFonts w:cs="Times New Roman"/>
        <w:i/>
        <w:noProof/>
        <w:color w:val="1F497D" w:themeColor="text2"/>
        <w:lang w:eastAsia="es-GT"/>
      </w:rPr>
      <mc:AlternateContent>
        <mc:Choice Requires="wps">
          <w:drawing>
            <wp:anchor distT="0" distB="0" distL="114300" distR="114300" simplePos="0" relativeHeight="251658241" behindDoc="0" locked="0" layoutInCell="1" allowOverlap="1" wp14:anchorId="26DEA52F" wp14:editId="3E9B19FB">
              <wp:simplePos x="0" y="0"/>
              <wp:positionH relativeFrom="column">
                <wp:posOffset>1147787</wp:posOffset>
              </wp:positionH>
              <wp:positionV relativeFrom="paragraph">
                <wp:posOffset>315840</wp:posOffset>
              </wp:positionV>
              <wp:extent cx="4955442" cy="45719"/>
              <wp:effectExtent l="0" t="0" r="17145" b="12065"/>
              <wp:wrapNone/>
              <wp:docPr id="44" name="44 Rectángulo"/>
              <wp:cNvGraphicFramePr/>
              <a:graphic xmlns:a="http://schemas.openxmlformats.org/drawingml/2006/main">
                <a:graphicData uri="http://schemas.microsoft.com/office/word/2010/wordprocessingShape">
                  <wps:wsp>
                    <wps:cNvSpPr/>
                    <wps:spPr>
                      <a:xfrm>
                        <a:off x="0" y="0"/>
                        <a:ext cx="4955442" cy="45719"/>
                      </a:xfrm>
                      <a:prstGeom prst="rect">
                        <a:avLst/>
                      </a:prstGeom>
                      <a:gradFill flip="none" rotWithShape="1">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0" scaled="0"/>
                        <a:tileRect/>
                      </a:gradFill>
                      <a:ln>
                        <a:gradFill>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01794B" id="44 Rectángulo" o:spid="_x0000_s1026" style="position:absolute;margin-left:90.4pt;margin-top:24.85pt;width:390.2pt;height:3.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" fillcolor="#8aabd3 [2132]" strokeweight="2pt">
              <v:fill color2="#f2f2f2 [3052]" rotate="t" angle="90" colors="0 #9ab5e4;50463f #c2d1ed;58327f #e1e8f5;64881f #f2f2f2" focus="100%" type="gradient">
                <o:fill v:ext="view" type="gradientUnscaled"/>
              </v:fill>
            </v:rect>
          </w:pict>
        </mc:Fallback>
      </mc:AlternateContent>
    </w:r>
    <w:r w:rsidR="000A5B5B" w:rsidRPr="00AC45C7">
      <w:rPr>
        <w:rFonts w:cs="Times New Roman"/>
        <w:i/>
        <w:color w:val="1F497D" w:themeColor="text2"/>
      </w:rPr>
      <w:t>Dirección de Análisis y Política Fiscal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674F" w14:textId="77777777" w:rsidR="000A5B5B" w:rsidRPr="005329C2" w:rsidRDefault="000A5B5B" w:rsidP="00CB498E">
    <w:pPr>
      <w:pStyle w:val="Encabezado"/>
      <w:jc w:val="center"/>
      <w:rPr>
        <w:rFonts w:cs="Times New Roman"/>
        <w:i/>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160D"/>
    <w:multiLevelType w:val="hybridMultilevel"/>
    <w:tmpl w:val="5652F5FA"/>
    <w:lvl w:ilvl="0" w:tplc="47281706">
      <w:start w:val="1"/>
      <w:numFmt w:val="bullet"/>
      <w:lvlText w:val="•"/>
      <w:lvlJc w:val="left"/>
      <w:pPr>
        <w:tabs>
          <w:tab w:val="num" w:pos="720"/>
        </w:tabs>
        <w:ind w:left="720" w:hanging="360"/>
      </w:pPr>
      <w:rPr>
        <w:rFonts w:ascii="Arial" w:hAnsi="Arial" w:hint="default"/>
      </w:rPr>
    </w:lvl>
    <w:lvl w:ilvl="1" w:tplc="100A0017">
      <w:start w:val="1"/>
      <w:numFmt w:val="lowerLetter"/>
      <w:lvlText w:val="%2)"/>
      <w:lvlJc w:val="left"/>
      <w:pPr>
        <w:tabs>
          <w:tab w:val="num" w:pos="1440"/>
        </w:tabs>
        <w:ind w:left="1440" w:hanging="360"/>
      </w:pPr>
      <w:rPr>
        <w:rFonts w:hint="default"/>
      </w:rPr>
    </w:lvl>
    <w:lvl w:ilvl="2" w:tplc="1C30B89C" w:tentative="1">
      <w:start w:val="1"/>
      <w:numFmt w:val="bullet"/>
      <w:lvlText w:val="•"/>
      <w:lvlJc w:val="left"/>
      <w:pPr>
        <w:tabs>
          <w:tab w:val="num" w:pos="2160"/>
        </w:tabs>
        <w:ind w:left="2160" w:hanging="360"/>
      </w:pPr>
      <w:rPr>
        <w:rFonts w:ascii="Arial" w:hAnsi="Arial" w:hint="default"/>
      </w:rPr>
    </w:lvl>
    <w:lvl w:ilvl="3" w:tplc="BC8E2AC2" w:tentative="1">
      <w:start w:val="1"/>
      <w:numFmt w:val="bullet"/>
      <w:lvlText w:val="•"/>
      <w:lvlJc w:val="left"/>
      <w:pPr>
        <w:tabs>
          <w:tab w:val="num" w:pos="2880"/>
        </w:tabs>
        <w:ind w:left="2880" w:hanging="360"/>
      </w:pPr>
      <w:rPr>
        <w:rFonts w:ascii="Arial" w:hAnsi="Arial" w:hint="default"/>
      </w:rPr>
    </w:lvl>
    <w:lvl w:ilvl="4" w:tplc="A130603C" w:tentative="1">
      <w:start w:val="1"/>
      <w:numFmt w:val="bullet"/>
      <w:lvlText w:val="•"/>
      <w:lvlJc w:val="left"/>
      <w:pPr>
        <w:tabs>
          <w:tab w:val="num" w:pos="3600"/>
        </w:tabs>
        <w:ind w:left="3600" w:hanging="360"/>
      </w:pPr>
      <w:rPr>
        <w:rFonts w:ascii="Arial" w:hAnsi="Arial" w:hint="default"/>
      </w:rPr>
    </w:lvl>
    <w:lvl w:ilvl="5" w:tplc="347CF7B6" w:tentative="1">
      <w:start w:val="1"/>
      <w:numFmt w:val="bullet"/>
      <w:lvlText w:val="•"/>
      <w:lvlJc w:val="left"/>
      <w:pPr>
        <w:tabs>
          <w:tab w:val="num" w:pos="4320"/>
        </w:tabs>
        <w:ind w:left="4320" w:hanging="360"/>
      </w:pPr>
      <w:rPr>
        <w:rFonts w:ascii="Arial" w:hAnsi="Arial" w:hint="default"/>
      </w:rPr>
    </w:lvl>
    <w:lvl w:ilvl="6" w:tplc="9580CE46" w:tentative="1">
      <w:start w:val="1"/>
      <w:numFmt w:val="bullet"/>
      <w:lvlText w:val="•"/>
      <w:lvlJc w:val="left"/>
      <w:pPr>
        <w:tabs>
          <w:tab w:val="num" w:pos="5040"/>
        </w:tabs>
        <w:ind w:left="5040" w:hanging="360"/>
      </w:pPr>
      <w:rPr>
        <w:rFonts w:ascii="Arial" w:hAnsi="Arial" w:hint="default"/>
      </w:rPr>
    </w:lvl>
    <w:lvl w:ilvl="7" w:tplc="1304CE74" w:tentative="1">
      <w:start w:val="1"/>
      <w:numFmt w:val="bullet"/>
      <w:lvlText w:val="•"/>
      <w:lvlJc w:val="left"/>
      <w:pPr>
        <w:tabs>
          <w:tab w:val="num" w:pos="5760"/>
        </w:tabs>
        <w:ind w:left="5760" w:hanging="360"/>
      </w:pPr>
      <w:rPr>
        <w:rFonts w:ascii="Arial" w:hAnsi="Arial" w:hint="default"/>
      </w:rPr>
    </w:lvl>
    <w:lvl w:ilvl="8" w:tplc="EBA260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1A32CD"/>
    <w:multiLevelType w:val="hybridMultilevel"/>
    <w:tmpl w:val="6818CFE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30B3E59"/>
    <w:multiLevelType w:val="hybridMultilevel"/>
    <w:tmpl w:val="F832278A"/>
    <w:lvl w:ilvl="0" w:tplc="4142F532">
      <w:start w:val="1"/>
      <w:numFmt w:val="lowerLetter"/>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45536B5"/>
    <w:multiLevelType w:val="hybridMultilevel"/>
    <w:tmpl w:val="02E2FB34"/>
    <w:lvl w:ilvl="0" w:tplc="2E828656">
      <w:start w:val="1"/>
      <w:numFmt w:val="decimal"/>
      <w:lvlText w:val="%1.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6811248"/>
    <w:multiLevelType w:val="hybridMultilevel"/>
    <w:tmpl w:val="2E12EF8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DFA2B56"/>
    <w:multiLevelType w:val="hybridMultilevel"/>
    <w:tmpl w:val="60DAF59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1F151372"/>
    <w:multiLevelType w:val="multilevel"/>
    <w:tmpl w:val="8960C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E5232B"/>
    <w:multiLevelType w:val="hybridMultilevel"/>
    <w:tmpl w:val="E06C4B02"/>
    <w:lvl w:ilvl="0" w:tplc="47281706">
      <w:start w:val="1"/>
      <w:numFmt w:val="bullet"/>
      <w:lvlText w:val="•"/>
      <w:lvlJc w:val="left"/>
      <w:pPr>
        <w:tabs>
          <w:tab w:val="num" w:pos="720"/>
        </w:tabs>
        <w:ind w:left="720" w:hanging="360"/>
      </w:pPr>
      <w:rPr>
        <w:rFonts w:ascii="Arial" w:hAnsi="Arial" w:hint="default"/>
      </w:rPr>
    </w:lvl>
    <w:lvl w:ilvl="1" w:tplc="100A0017">
      <w:start w:val="1"/>
      <w:numFmt w:val="lowerLetter"/>
      <w:lvlText w:val="%2)"/>
      <w:lvlJc w:val="left"/>
      <w:pPr>
        <w:tabs>
          <w:tab w:val="num" w:pos="1440"/>
        </w:tabs>
        <w:ind w:left="1440" w:hanging="360"/>
      </w:pPr>
      <w:rPr>
        <w:rFonts w:hint="default"/>
      </w:rPr>
    </w:lvl>
    <w:lvl w:ilvl="2" w:tplc="1C30B89C" w:tentative="1">
      <w:start w:val="1"/>
      <w:numFmt w:val="bullet"/>
      <w:lvlText w:val="•"/>
      <w:lvlJc w:val="left"/>
      <w:pPr>
        <w:tabs>
          <w:tab w:val="num" w:pos="2160"/>
        </w:tabs>
        <w:ind w:left="2160" w:hanging="360"/>
      </w:pPr>
      <w:rPr>
        <w:rFonts w:ascii="Arial" w:hAnsi="Arial" w:hint="default"/>
      </w:rPr>
    </w:lvl>
    <w:lvl w:ilvl="3" w:tplc="BC8E2AC2" w:tentative="1">
      <w:start w:val="1"/>
      <w:numFmt w:val="bullet"/>
      <w:lvlText w:val="•"/>
      <w:lvlJc w:val="left"/>
      <w:pPr>
        <w:tabs>
          <w:tab w:val="num" w:pos="2880"/>
        </w:tabs>
        <w:ind w:left="2880" w:hanging="360"/>
      </w:pPr>
      <w:rPr>
        <w:rFonts w:ascii="Arial" w:hAnsi="Arial" w:hint="default"/>
      </w:rPr>
    </w:lvl>
    <w:lvl w:ilvl="4" w:tplc="A130603C" w:tentative="1">
      <w:start w:val="1"/>
      <w:numFmt w:val="bullet"/>
      <w:lvlText w:val="•"/>
      <w:lvlJc w:val="left"/>
      <w:pPr>
        <w:tabs>
          <w:tab w:val="num" w:pos="3600"/>
        </w:tabs>
        <w:ind w:left="3600" w:hanging="360"/>
      </w:pPr>
      <w:rPr>
        <w:rFonts w:ascii="Arial" w:hAnsi="Arial" w:hint="default"/>
      </w:rPr>
    </w:lvl>
    <w:lvl w:ilvl="5" w:tplc="347CF7B6" w:tentative="1">
      <w:start w:val="1"/>
      <w:numFmt w:val="bullet"/>
      <w:lvlText w:val="•"/>
      <w:lvlJc w:val="left"/>
      <w:pPr>
        <w:tabs>
          <w:tab w:val="num" w:pos="4320"/>
        </w:tabs>
        <w:ind w:left="4320" w:hanging="360"/>
      </w:pPr>
      <w:rPr>
        <w:rFonts w:ascii="Arial" w:hAnsi="Arial" w:hint="default"/>
      </w:rPr>
    </w:lvl>
    <w:lvl w:ilvl="6" w:tplc="9580CE46" w:tentative="1">
      <w:start w:val="1"/>
      <w:numFmt w:val="bullet"/>
      <w:lvlText w:val="•"/>
      <w:lvlJc w:val="left"/>
      <w:pPr>
        <w:tabs>
          <w:tab w:val="num" w:pos="5040"/>
        </w:tabs>
        <w:ind w:left="5040" w:hanging="360"/>
      </w:pPr>
      <w:rPr>
        <w:rFonts w:ascii="Arial" w:hAnsi="Arial" w:hint="default"/>
      </w:rPr>
    </w:lvl>
    <w:lvl w:ilvl="7" w:tplc="1304CE74" w:tentative="1">
      <w:start w:val="1"/>
      <w:numFmt w:val="bullet"/>
      <w:lvlText w:val="•"/>
      <w:lvlJc w:val="left"/>
      <w:pPr>
        <w:tabs>
          <w:tab w:val="num" w:pos="5760"/>
        </w:tabs>
        <w:ind w:left="5760" w:hanging="360"/>
      </w:pPr>
      <w:rPr>
        <w:rFonts w:ascii="Arial" w:hAnsi="Arial" w:hint="default"/>
      </w:rPr>
    </w:lvl>
    <w:lvl w:ilvl="8" w:tplc="EBA260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03721B"/>
    <w:multiLevelType w:val="multilevel"/>
    <w:tmpl w:val="43220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605102"/>
    <w:multiLevelType w:val="hybridMultilevel"/>
    <w:tmpl w:val="FEA4A058"/>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0" w15:restartNumberingAfterBreak="0">
    <w:nsid w:val="2B756652"/>
    <w:multiLevelType w:val="hybridMultilevel"/>
    <w:tmpl w:val="4C3CF3C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2CEE5E3C"/>
    <w:multiLevelType w:val="multilevel"/>
    <w:tmpl w:val="1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3D32D9"/>
    <w:multiLevelType w:val="hybridMultilevel"/>
    <w:tmpl w:val="D6B8F3D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2D5A09C0"/>
    <w:multiLevelType w:val="hybridMultilevel"/>
    <w:tmpl w:val="92F073A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2F3A7D94"/>
    <w:multiLevelType w:val="hybridMultilevel"/>
    <w:tmpl w:val="D4A4493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31A24AD2"/>
    <w:multiLevelType w:val="multilevel"/>
    <w:tmpl w:val="0C0A0025"/>
    <w:lvl w:ilvl="0">
      <w:start w:val="1"/>
      <w:numFmt w:val="decimal"/>
      <w:pStyle w:val="Ttulo11"/>
      <w:lvlText w:val="%1"/>
      <w:lvlJc w:val="left"/>
      <w:pPr>
        <w:ind w:left="432" w:hanging="432"/>
      </w:pPr>
    </w:lvl>
    <w:lvl w:ilvl="1">
      <w:start w:val="1"/>
      <w:numFmt w:val="decimal"/>
      <w:pStyle w:val="Ttulo21"/>
      <w:lvlText w:val="%1.%2"/>
      <w:lvlJc w:val="left"/>
      <w:pPr>
        <w:ind w:left="576" w:hanging="576"/>
      </w:pPr>
    </w:lvl>
    <w:lvl w:ilvl="2">
      <w:start w:val="1"/>
      <w:numFmt w:val="decimal"/>
      <w:pStyle w:val="Ttulo31"/>
      <w:lvlText w:val="%1.%2.%3"/>
      <w:lvlJc w:val="left"/>
      <w:pPr>
        <w:ind w:left="720" w:hanging="720"/>
      </w:pPr>
    </w:lvl>
    <w:lvl w:ilvl="3">
      <w:start w:val="1"/>
      <w:numFmt w:val="decimal"/>
      <w:pStyle w:val="Ttulo41"/>
      <w:lvlText w:val="%1.%2.%3.%4"/>
      <w:lvlJc w:val="left"/>
      <w:pPr>
        <w:ind w:left="864" w:hanging="864"/>
      </w:p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abstractNum w:abstractNumId="16" w15:restartNumberingAfterBreak="0">
    <w:nsid w:val="38E61988"/>
    <w:multiLevelType w:val="hybridMultilevel"/>
    <w:tmpl w:val="7D04A81C"/>
    <w:lvl w:ilvl="0" w:tplc="A1F83D42">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7" w15:restartNumberingAfterBreak="0">
    <w:nsid w:val="39344CF8"/>
    <w:multiLevelType w:val="hybridMultilevel"/>
    <w:tmpl w:val="39F4D9A0"/>
    <w:lvl w:ilvl="0" w:tplc="100A0017">
      <w:start w:val="1"/>
      <w:numFmt w:val="lowerLetter"/>
      <w:lvlText w:val="%1)"/>
      <w:lvlJc w:val="left"/>
      <w:pPr>
        <w:tabs>
          <w:tab w:val="num" w:pos="1428"/>
        </w:tabs>
        <w:ind w:left="1428" w:hanging="360"/>
      </w:pPr>
      <w:rPr>
        <w:rFonts w:hint="default"/>
      </w:rPr>
    </w:lvl>
    <w:lvl w:ilvl="1" w:tplc="88A822C4" w:tentative="1">
      <w:start w:val="1"/>
      <w:numFmt w:val="bullet"/>
      <w:lvlText w:val="•"/>
      <w:lvlJc w:val="left"/>
      <w:pPr>
        <w:tabs>
          <w:tab w:val="num" w:pos="2148"/>
        </w:tabs>
        <w:ind w:left="2148" w:hanging="360"/>
      </w:pPr>
      <w:rPr>
        <w:rFonts w:ascii="Arial" w:hAnsi="Arial" w:hint="default"/>
      </w:rPr>
    </w:lvl>
    <w:lvl w:ilvl="2" w:tplc="0A663566" w:tentative="1">
      <w:start w:val="1"/>
      <w:numFmt w:val="bullet"/>
      <w:lvlText w:val="•"/>
      <w:lvlJc w:val="left"/>
      <w:pPr>
        <w:tabs>
          <w:tab w:val="num" w:pos="2868"/>
        </w:tabs>
        <w:ind w:left="2868" w:hanging="360"/>
      </w:pPr>
      <w:rPr>
        <w:rFonts w:ascii="Arial" w:hAnsi="Arial" w:hint="default"/>
      </w:rPr>
    </w:lvl>
    <w:lvl w:ilvl="3" w:tplc="FC0AC50E" w:tentative="1">
      <w:start w:val="1"/>
      <w:numFmt w:val="bullet"/>
      <w:lvlText w:val="•"/>
      <w:lvlJc w:val="left"/>
      <w:pPr>
        <w:tabs>
          <w:tab w:val="num" w:pos="3588"/>
        </w:tabs>
        <w:ind w:left="3588" w:hanging="360"/>
      </w:pPr>
      <w:rPr>
        <w:rFonts w:ascii="Arial" w:hAnsi="Arial" w:hint="default"/>
      </w:rPr>
    </w:lvl>
    <w:lvl w:ilvl="4" w:tplc="2F2C20D6" w:tentative="1">
      <w:start w:val="1"/>
      <w:numFmt w:val="bullet"/>
      <w:lvlText w:val="•"/>
      <w:lvlJc w:val="left"/>
      <w:pPr>
        <w:tabs>
          <w:tab w:val="num" w:pos="4308"/>
        </w:tabs>
        <w:ind w:left="4308" w:hanging="360"/>
      </w:pPr>
      <w:rPr>
        <w:rFonts w:ascii="Arial" w:hAnsi="Arial" w:hint="default"/>
      </w:rPr>
    </w:lvl>
    <w:lvl w:ilvl="5" w:tplc="3D765614" w:tentative="1">
      <w:start w:val="1"/>
      <w:numFmt w:val="bullet"/>
      <w:lvlText w:val="•"/>
      <w:lvlJc w:val="left"/>
      <w:pPr>
        <w:tabs>
          <w:tab w:val="num" w:pos="5028"/>
        </w:tabs>
        <w:ind w:left="5028" w:hanging="360"/>
      </w:pPr>
      <w:rPr>
        <w:rFonts w:ascii="Arial" w:hAnsi="Arial" w:hint="default"/>
      </w:rPr>
    </w:lvl>
    <w:lvl w:ilvl="6" w:tplc="D7B4C0EE" w:tentative="1">
      <w:start w:val="1"/>
      <w:numFmt w:val="bullet"/>
      <w:lvlText w:val="•"/>
      <w:lvlJc w:val="left"/>
      <w:pPr>
        <w:tabs>
          <w:tab w:val="num" w:pos="5748"/>
        </w:tabs>
        <w:ind w:left="5748" w:hanging="360"/>
      </w:pPr>
      <w:rPr>
        <w:rFonts w:ascii="Arial" w:hAnsi="Arial" w:hint="default"/>
      </w:rPr>
    </w:lvl>
    <w:lvl w:ilvl="7" w:tplc="FFBC65E4" w:tentative="1">
      <w:start w:val="1"/>
      <w:numFmt w:val="bullet"/>
      <w:lvlText w:val="•"/>
      <w:lvlJc w:val="left"/>
      <w:pPr>
        <w:tabs>
          <w:tab w:val="num" w:pos="6468"/>
        </w:tabs>
        <w:ind w:left="6468" w:hanging="360"/>
      </w:pPr>
      <w:rPr>
        <w:rFonts w:ascii="Arial" w:hAnsi="Arial" w:hint="default"/>
      </w:rPr>
    </w:lvl>
    <w:lvl w:ilvl="8" w:tplc="7AD008E2" w:tentative="1">
      <w:start w:val="1"/>
      <w:numFmt w:val="bullet"/>
      <w:lvlText w:val="•"/>
      <w:lvlJc w:val="left"/>
      <w:pPr>
        <w:tabs>
          <w:tab w:val="num" w:pos="7188"/>
        </w:tabs>
        <w:ind w:left="7188" w:hanging="360"/>
      </w:pPr>
      <w:rPr>
        <w:rFonts w:ascii="Arial" w:hAnsi="Arial" w:hint="default"/>
      </w:rPr>
    </w:lvl>
  </w:abstractNum>
  <w:abstractNum w:abstractNumId="18" w15:restartNumberingAfterBreak="0">
    <w:nsid w:val="3F4E4675"/>
    <w:multiLevelType w:val="hybridMultilevel"/>
    <w:tmpl w:val="592A14C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41F878AD"/>
    <w:multiLevelType w:val="multilevel"/>
    <w:tmpl w:val="6BE6B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3772FF"/>
    <w:multiLevelType w:val="multilevel"/>
    <w:tmpl w:val="B420C2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455B36"/>
    <w:multiLevelType w:val="hybridMultilevel"/>
    <w:tmpl w:val="2F9A9654"/>
    <w:lvl w:ilvl="0" w:tplc="DB6E8538">
      <w:start w:val="1"/>
      <w:numFmt w:val="low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50587C29"/>
    <w:multiLevelType w:val="hybridMultilevel"/>
    <w:tmpl w:val="21D2FB3A"/>
    <w:lvl w:ilvl="0" w:tplc="100A0017">
      <w:start w:val="1"/>
      <w:numFmt w:val="lowerLetter"/>
      <w:lvlText w:val="%1)"/>
      <w:lvlJc w:val="left"/>
      <w:pPr>
        <w:ind w:left="1776" w:hanging="360"/>
      </w:pPr>
    </w:lvl>
    <w:lvl w:ilvl="1" w:tplc="100A0019" w:tentative="1">
      <w:start w:val="1"/>
      <w:numFmt w:val="lowerLetter"/>
      <w:lvlText w:val="%2."/>
      <w:lvlJc w:val="left"/>
      <w:pPr>
        <w:ind w:left="2496" w:hanging="360"/>
      </w:pPr>
    </w:lvl>
    <w:lvl w:ilvl="2" w:tplc="100A001B" w:tentative="1">
      <w:start w:val="1"/>
      <w:numFmt w:val="lowerRoman"/>
      <w:lvlText w:val="%3."/>
      <w:lvlJc w:val="right"/>
      <w:pPr>
        <w:ind w:left="3216" w:hanging="180"/>
      </w:pPr>
    </w:lvl>
    <w:lvl w:ilvl="3" w:tplc="100A000F" w:tentative="1">
      <w:start w:val="1"/>
      <w:numFmt w:val="decimal"/>
      <w:lvlText w:val="%4."/>
      <w:lvlJc w:val="left"/>
      <w:pPr>
        <w:ind w:left="3936" w:hanging="360"/>
      </w:pPr>
    </w:lvl>
    <w:lvl w:ilvl="4" w:tplc="100A0019" w:tentative="1">
      <w:start w:val="1"/>
      <w:numFmt w:val="lowerLetter"/>
      <w:lvlText w:val="%5."/>
      <w:lvlJc w:val="left"/>
      <w:pPr>
        <w:ind w:left="4656" w:hanging="360"/>
      </w:pPr>
    </w:lvl>
    <w:lvl w:ilvl="5" w:tplc="100A001B" w:tentative="1">
      <w:start w:val="1"/>
      <w:numFmt w:val="lowerRoman"/>
      <w:lvlText w:val="%6."/>
      <w:lvlJc w:val="right"/>
      <w:pPr>
        <w:ind w:left="5376" w:hanging="180"/>
      </w:pPr>
    </w:lvl>
    <w:lvl w:ilvl="6" w:tplc="100A000F" w:tentative="1">
      <w:start w:val="1"/>
      <w:numFmt w:val="decimal"/>
      <w:lvlText w:val="%7."/>
      <w:lvlJc w:val="left"/>
      <w:pPr>
        <w:ind w:left="6096" w:hanging="360"/>
      </w:pPr>
    </w:lvl>
    <w:lvl w:ilvl="7" w:tplc="100A0019" w:tentative="1">
      <w:start w:val="1"/>
      <w:numFmt w:val="lowerLetter"/>
      <w:lvlText w:val="%8."/>
      <w:lvlJc w:val="left"/>
      <w:pPr>
        <w:ind w:left="6816" w:hanging="360"/>
      </w:pPr>
    </w:lvl>
    <w:lvl w:ilvl="8" w:tplc="100A001B" w:tentative="1">
      <w:start w:val="1"/>
      <w:numFmt w:val="lowerRoman"/>
      <w:lvlText w:val="%9."/>
      <w:lvlJc w:val="right"/>
      <w:pPr>
        <w:ind w:left="7536" w:hanging="180"/>
      </w:pPr>
    </w:lvl>
  </w:abstractNum>
  <w:abstractNum w:abstractNumId="23" w15:restartNumberingAfterBreak="0">
    <w:nsid w:val="523C077D"/>
    <w:multiLevelType w:val="multilevel"/>
    <w:tmpl w:val="43220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777B9E"/>
    <w:multiLevelType w:val="hybridMultilevel"/>
    <w:tmpl w:val="3F00470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15:restartNumberingAfterBreak="0">
    <w:nsid w:val="582A1421"/>
    <w:multiLevelType w:val="multilevel"/>
    <w:tmpl w:val="B63CCFBE"/>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741E90"/>
    <w:multiLevelType w:val="multilevel"/>
    <w:tmpl w:val="58DEA22A"/>
    <w:lvl w:ilvl="0">
      <w:start w:val="1"/>
      <w:numFmt w:val="upperRoman"/>
      <w:lvlText w:val="%1."/>
      <w:lvlJc w:val="left"/>
      <w:pPr>
        <w:ind w:left="720" w:hanging="720"/>
      </w:pPr>
      <w:rPr>
        <w:rFonts w:hint="default"/>
      </w:rPr>
    </w:lvl>
    <w:lvl w:ilvl="1">
      <w:start w:val="3"/>
      <w:numFmt w:val="decimal"/>
      <w:isLgl/>
      <w:lvlText w:val="%1.%2"/>
      <w:lvlJc w:val="left"/>
      <w:pPr>
        <w:ind w:left="660" w:hanging="66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8B02801"/>
    <w:multiLevelType w:val="hybridMultilevel"/>
    <w:tmpl w:val="CDF23244"/>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59DE5F78"/>
    <w:multiLevelType w:val="multilevel"/>
    <w:tmpl w:val="B63CCFBE"/>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403D22"/>
    <w:multiLevelType w:val="multilevel"/>
    <w:tmpl w:val="1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E5754F"/>
    <w:multiLevelType w:val="hybridMultilevel"/>
    <w:tmpl w:val="66D0A53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1" w15:restartNumberingAfterBreak="0">
    <w:nsid w:val="5D1A7293"/>
    <w:multiLevelType w:val="hybridMultilevel"/>
    <w:tmpl w:val="574693B0"/>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2" w15:restartNumberingAfterBreak="0">
    <w:nsid w:val="5E9B22BF"/>
    <w:multiLevelType w:val="hybridMultilevel"/>
    <w:tmpl w:val="7D0EE6BA"/>
    <w:lvl w:ilvl="0" w:tplc="FD3A4A76">
      <w:start w:val="1"/>
      <w:numFmt w:val="lowerLetter"/>
      <w:lvlText w:val="%1."/>
      <w:lvlJc w:val="left"/>
      <w:pPr>
        <w:ind w:left="720" w:hanging="360"/>
      </w:pPr>
      <w:rPr>
        <w:sz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15:restartNumberingAfterBreak="0">
    <w:nsid w:val="5E9E267F"/>
    <w:multiLevelType w:val="hybridMultilevel"/>
    <w:tmpl w:val="B18CB370"/>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4" w15:restartNumberingAfterBreak="0">
    <w:nsid w:val="627D15BE"/>
    <w:multiLevelType w:val="multilevel"/>
    <w:tmpl w:val="E6A25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9C3A2A"/>
    <w:multiLevelType w:val="hybridMultilevel"/>
    <w:tmpl w:val="36860404"/>
    <w:lvl w:ilvl="0" w:tplc="46F0C8B4">
      <w:start w:val="1"/>
      <w:numFmt w:val="bullet"/>
      <w:lvlText w:val="•"/>
      <w:lvlJc w:val="left"/>
      <w:pPr>
        <w:tabs>
          <w:tab w:val="num" w:pos="720"/>
        </w:tabs>
        <w:ind w:left="720" w:hanging="360"/>
      </w:pPr>
      <w:rPr>
        <w:rFonts w:ascii="Arial" w:hAnsi="Arial" w:hint="default"/>
      </w:rPr>
    </w:lvl>
    <w:lvl w:ilvl="1" w:tplc="3640B6EE">
      <w:start w:val="82"/>
      <w:numFmt w:val="bullet"/>
      <w:lvlText w:val=""/>
      <w:lvlJc w:val="left"/>
      <w:pPr>
        <w:tabs>
          <w:tab w:val="num" w:pos="1440"/>
        </w:tabs>
        <w:ind w:left="1440" w:hanging="360"/>
      </w:pPr>
      <w:rPr>
        <w:rFonts w:ascii="Wingdings" w:hAnsi="Wingdings" w:hint="default"/>
      </w:rPr>
    </w:lvl>
    <w:lvl w:ilvl="2" w:tplc="803E46F8">
      <w:start w:val="82"/>
      <w:numFmt w:val="bullet"/>
      <w:lvlText w:val=""/>
      <w:lvlJc w:val="left"/>
      <w:pPr>
        <w:tabs>
          <w:tab w:val="num" w:pos="2160"/>
        </w:tabs>
        <w:ind w:left="2160" w:hanging="360"/>
      </w:pPr>
      <w:rPr>
        <w:rFonts w:ascii="Wingdings" w:hAnsi="Wingdings" w:hint="default"/>
      </w:rPr>
    </w:lvl>
    <w:lvl w:ilvl="3" w:tplc="E9BEBE16" w:tentative="1">
      <w:start w:val="1"/>
      <w:numFmt w:val="bullet"/>
      <w:lvlText w:val="•"/>
      <w:lvlJc w:val="left"/>
      <w:pPr>
        <w:tabs>
          <w:tab w:val="num" w:pos="2880"/>
        </w:tabs>
        <w:ind w:left="2880" w:hanging="360"/>
      </w:pPr>
      <w:rPr>
        <w:rFonts w:ascii="Arial" w:hAnsi="Arial" w:hint="default"/>
      </w:rPr>
    </w:lvl>
    <w:lvl w:ilvl="4" w:tplc="E7928B86" w:tentative="1">
      <w:start w:val="1"/>
      <w:numFmt w:val="bullet"/>
      <w:lvlText w:val="•"/>
      <w:lvlJc w:val="left"/>
      <w:pPr>
        <w:tabs>
          <w:tab w:val="num" w:pos="3600"/>
        </w:tabs>
        <w:ind w:left="3600" w:hanging="360"/>
      </w:pPr>
      <w:rPr>
        <w:rFonts w:ascii="Arial" w:hAnsi="Arial" w:hint="default"/>
      </w:rPr>
    </w:lvl>
    <w:lvl w:ilvl="5" w:tplc="FA6205C2" w:tentative="1">
      <w:start w:val="1"/>
      <w:numFmt w:val="bullet"/>
      <w:lvlText w:val="•"/>
      <w:lvlJc w:val="left"/>
      <w:pPr>
        <w:tabs>
          <w:tab w:val="num" w:pos="4320"/>
        </w:tabs>
        <w:ind w:left="4320" w:hanging="360"/>
      </w:pPr>
      <w:rPr>
        <w:rFonts w:ascii="Arial" w:hAnsi="Arial" w:hint="default"/>
      </w:rPr>
    </w:lvl>
    <w:lvl w:ilvl="6" w:tplc="3B56D9A4" w:tentative="1">
      <w:start w:val="1"/>
      <w:numFmt w:val="bullet"/>
      <w:lvlText w:val="•"/>
      <w:lvlJc w:val="left"/>
      <w:pPr>
        <w:tabs>
          <w:tab w:val="num" w:pos="5040"/>
        </w:tabs>
        <w:ind w:left="5040" w:hanging="360"/>
      </w:pPr>
      <w:rPr>
        <w:rFonts w:ascii="Arial" w:hAnsi="Arial" w:hint="default"/>
      </w:rPr>
    </w:lvl>
    <w:lvl w:ilvl="7" w:tplc="FF32ECCC" w:tentative="1">
      <w:start w:val="1"/>
      <w:numFmt w:val="bullet"/>
      <w:lvlText w:val="•"/>
      <w:lvlJc w:val="left"/>
      <w:pPr>
        <w:tabs>
          <w:tab w:val="num" w:pos="5760"/>
        </w:tabs>
        <w:ind w:left="5760" w:hanging="360"/>
      </w:pPr>
      <w:rPr>
        <w:rFonts w:ascii="Arial" w:hAnsi="Arial" w:hint="default"/>
      </w:rPr>
    </w:lvl>
    <w:lvl w:ilvl="8" w:tplc="DE920C2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3E5119"/>
    <w:multiLevelType w:val="hybridMultilevel"/>
    <w:tmpl w:val="D05E2C2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7" w15:restartNumberingAfterBreak="0">
    <w:nsid w:val="70CB5DA4"/>
    <w:multiLevelType w:val="hybridMultilevel"/>
    <w:tmpl w:val="E174D1C4"/>
    <w:lvl w:ilvl="0" w:tplc="80D2798C">
      <w:start w:val="1"/>
      <w:numFmt w:val="decimal"/>
      <w:lvlText w:val="%1."/>
      <w:lvlJc w:val="left"/>
      <w:pPr>
        <w:ind w:left="720" w:hanging="360"/>
      </w:pPr>
      <w:rPr>
        <w:b/>
      </w:rPr>
    </w:lvl>
    <w:lvl w:ilvl="1" w:tplc="100A0017">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8" w15:restartNumberingAfterBreak="0">
    <w:nsid w:val="7336333D"/>
    <w:multiLevelType w:val="hybridMultilevel"/>
    <w:tmpl w:val="C3B0B7DE"/>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9" w15:restartNumberingAfterBreak="0">
    <w:nsid w:val="738E5052"/>
    <w:multiLevelType w:val="hybridMultilevel"/>
    <w:tmpl w:val="1B40ACF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0" w15:restartNumberingAfterBreak="0">
    <w:nsid w:val="73985C45"/>
    <w:multiLevelType w:val="hybridMultilevel"/>
    <w:tmpl w:val="0C14AC04"/>
    <w:lvl w:ilvl="0" w:tplc="100A0017">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41" w15:restartNumberingAfterBreak="0">
    <w:nsid w:val="75050691"/>
    <w:multiLevelType w:val="hybridMultilevel"/>
    <w:tmpl w:val="ED325860"/>
    <w:lvl w:ilvl="0" w:tplc="BDAE2E86">
      <w:start w:val="1"/>
      <w:numFmt w:val="bullet"/>
      <w:lvlText w:val=""/>
      <w:lvlJc w:val="left"/>
      <w:pPr>
        <w:ind w:left="720" w:hanging="360"/>
      </w:pPr>
      <w:rPr>
        <w:rFonts w:ascii="Symbol" w:hAnsi="Symbol" w:hint="default"/>
        <w:color w:val="auto"/>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2" w15:restartNumberingAfterBreak="0">
    <w:nsid w:val="7BD86473"/>
    <w:multiLevelType w:val="hybridMultilevel"/>
    <w:tmpl w:val="AFA85F1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3" w15:restartNumberingAfterBreak="0">
    <w:nsid w:val="7E490913"/>
    <w:multiLevelType w:val="hybridMultilevel"/>
    <w:tmpl w:val="8D88FC8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4" w15:restartNumberingAfterBreak="0">
    <w:nsid w:val="7FC208F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34814892">
    <w:abstractNumId w:val="26"/>
  </w:num>
  <w:num w:numId="2" w16cid:durableId="2125802452">
    <w:abstractNumId w:val="24"/>
  </w:num>
  <w:num w:numId="3" w16cid:durableId="1508250615">
    <w:abstractNumId w:val="13"/>
  </w:num>
  <w:num w:numId="4" w16cid:durableId="1640259718">
    <w:abstractNumId w:val="12"/>
  </w:num>
  <w:num w:numId="5" w16cid:durableId="1818762875">
    <w:abstractNumId w:val="30"/>
  </w:num>
  <w:num w:numId="6" w16cid:durableId="156187683">
    <w:abstractNumId w:val="42"/>
  </w:num>
  <w:num w:numId="7" w16cid:durableId="256449011">
    <w:abstractNumId w:val="31"/>
  </w:num>
  <w:num w:numId="8" w16cid:durableId="460340162">
    <w:abstractNumId w:val="4"/>
  </w:num>
  <w:num w:numId="9" w16cid:durableId="1566377612">
    <w:abstractNumId w:val="3"/>
  </w:num>
  <w:num w:numId="10" w16cid:durableId="1718355786">
    <w:abstractNumId w:val="19"/>
  </w:num>
  <w:num w:numId="11" w16cid:durableId="610862760">
    <w:abstractNumId w:val="20"/>
  </w:num>
  <w:num w:numId="12" w16cid:durableId="1687248449">
    <w:abstractNumId w:val="23"/>
  </w:num>
  <w:num w:numId="13" w16cid:durableId="1105418382">
    <w:abstractNumId w:val="32"/>
  </w:num>
  <w:num w:numId="14" w16cid:durableId="284583052">
    <w:abstractNumId w:val="27"/>
  </w:num>
  <w:num w:numId="15" w16cid:durableId="250748814">
    <w:abstractNumId w:val="7"/>
  </w:num>
  <w:num w:numId="16" w16cid:durableId="23749660">
    <w:abstractNumId w:val="0"/>
  </w:num>
  <w:num w:numId="17" w16cid:durableId="1552224918">
    <w:abstractNumId w:val="17"/>
  </w:num>
  <w:num w:numId="18" w16cid:durableId="976028217">
    <w:abstractNumId w:val="22"/>
  </w:num>
  <w:num w:numId="19" w16cid:durableId="2021656642">
    <w:abstractNumId w:val="35"/>
  </w:num>
  <w:num w:numId="20" w16cid:durableId="1593277166">
    <w:abstractNumId w:val="16"/>
  </w:num>
  <w:num w:numId="21" w16cid:durableId="1251888243">
    <w:abstractNumId w:val="37"/>
  </w:num>
  <w:num w:numId="22" w16cid:durableId="266276200">
    <w:abstractNumId w:val="40"/>
  </w:num>
  <w:num w:numId="23" w16cid:durableId="1046417730">
    <w:abstractNumId w:val="15"/>
  </w:num>
  <w:num w:numId="24" w16cid:durableId="1528835234">
    <w:abstractNumId w:val="15"/>
  </w:num>
  <w:num w:numId="25" w16cid:durableId="1412511329">
    <w:abstractNumId w:val="9"/>
  </w:num>
  <w:num w:numId="26" w16cid:durableId="1628391411">
    <w:abstractNumId w:val="2"/>
  </w:num>
  <w:num w:numId="27" w16cid:durableId="343169367">
    <w:abstractNumId w:val="36"/>
  </w:num>
  <w:num w:numId="28" w16cid:durableId="1472371">
    <w:abstractNumId w:val="10"/>
  </w:num>
  <w:num w:numId="29" w16cid:durableId="1012342829">
    <w:abstractNumId w:val="14"/>
  </w:num>
  <w:num w:numId="30" w16cid:durableId="1978560455">
    <w:abstractNumId w:val="41"/>
  </w:num>
  <w:num w:numId="31" w16cid:durableId="144667588">
    <w:abstractNumId w:val="1"/>
  </w:num>
  <w:num w:numId="32" w16cid:durableId="961544778">
    <w:abstractNumId w:val="34"/>
  </w:num>
  <w:num w:numId="33" w16cid:durableId="1943829916">
    <w:abstractNumId w:val="43"/>
  </w:num>
  <w:num w:numId="34" w16cid:durableId="971598601">
    <w:abstractNumId w:val="18"/>
  </w:num>
  <w:num w:numId="35" w16cid:durableId="1952126591">
    <w:abstractNumId w:val="11"/>
  </w:num>
  <w:num w:numId="36" w16cid:durableId="547449240">
    <w:abstractNumId w:val="44"/>
  </w:num>
  <w:num w:numId="37" w16cid:durableId="625546495">
    <w:abstractNumId w:val="33"/>
  </w:num>
  <w:num w:numId="38" w16cid:durableId="1062943351">
    <w:abstractNumId w:val="21"/>
  </w:num>
  <w:num w:numId="39" w16cid:durableId="841089518">
    <w:abstractNumId w:val="29"/>
  </w:num>
  <w:num w:numId="40" w16cid:durableId="1314338419">
    <w:abstractNumId w:val="6"/>
  </w:num>
  <w:num w:numId="41" w16cid:durableId="719087572">
    <w:abstractNumId w:val="25"/>
  </w:num>
  <w:num w:numId="42" w16cid:durableId="564992557">
    <w:abstractNumId w:val="28"/>
  </w:num>
  <w:num w:numId="43" w16cid:durableId="188876757">
    <w:abstractNumId w:val="8"/>
  </w:num>
  <w:num w:numId="44" w16cid:durableId="847056860">
    <w:abstractNumId w:val="5"/>
  </w:num>
  <w:num w:numId="45" w16cid:durableId="1099521063">
    <w:abstractNumId w:val="38"/>
  </w:num>
  <w:num w:numId="46" w16cid:durableId="6337728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98"/>
    <w:rsid w:val="000002AE"/>
    <w:rsid w:val="000003CC"/>
    <w:rsid w:val="00000530"/>
    <w:rsid w:val="00000926"/>
    <w:rsid w:val="00001278"/>
    <w:rsid w:val="000013F6"/>
    <w:rsid w:val="0000165C"/>
    <w:rsid w:val="0000167B"/>
    <w:rsid w:val="000019FB"/>
    <w:rsid w:val="00001B7A"/>
    <w:rsid w:val="00001ED4"/>
    <w:rsid w:val="00002881"/>
    <w:rsid w:val="00002C1C"/>
    <w:rsid w:val="00002CCD"/>
    <w:rsid w:val="000032AE"/>
    <w:rsid w:val="000038B1"/>
    <w:rsid w:val="00003BA5"/>
    <w:rsid w:val="000045FB"/>
    <w:rsid w:val="00004DCF"/>
    <w:rsid w:val="00004F16"/>
    <w:rsid w:val="00005674"/>
    <w:rsid w:val="00005925"/>
    <w:rsid w:val="00005EB8"/>
    <w:rsid w:val="00006172"/>
    <w:rsid w:val="0000665E"/>
    <w:rsid w:val="000073D2"/>
    <w:rsid w:val="00007F68"/>
    <w:rsid w:val="000108BE"/>
    <w:rsid w:val="00010D58"/>
    <w:rsid w:val="000115A2"/>
    <w:rsid w:val="000121A8"/>
    <w:rsid w:val="00012781"/>
    <w:rsid w:val="00012ACD"/>
    <w:rsid w:val="00012FB4"/>
    <w:rsid w:val="0001329E"/>
    <w:rsid w:val="000134F1"/>
    <w:rsid w:val="00013BEC"/>
    <w:rsid w:val="00013C44"/>
    <w:rsid w:val="00013ECF"/>
    <w:rsid w:val="00013FC9"/>
    <w:rsid w:val="00014246"/>
    <w:rsid w:val="0001429E"/>
    <w:rsid w:val="00014D0D"/>
    <w:rsid w:val="00014EAD"/>
    <w:rsid w:val="00014F25"/>
    <w:rsid w:val="00015107"/>
    <w:rsid w:val="00015370"/>
    <w:rsid w:val="00015674"/>
    <w:rsid w:val="00016805"/>
    <w:rsid w:val="00016CEF"/>
    <w:rsid w:val="00017427"/>
    <w:rsid w:val="00017D51"/>
    <w:rsid w:val="00017FF6"/>
    <w:rsid w:val="00020904"/>
    <w:rsid w:val="0002091B"/>
    <w:rsid w:val="00020D03"/>
    <w:rsid w:val="00020F69"/>
    <w:rsid w:val="000212B0"/>
    <w:rsid w:val="0002188F"/>
    <w:rsid w:val="00021FD5"/>
    <w:rsid w:val="00022F9D"/>
    <w:rsid w:val="00023745"/>
    <w:rsid w:val="000238F3"/>
    <w:rsid w:val="00023981"/>
    <w:rsid w:val="00023ADD"/>
    <w:rsid w:val="00023DC8"/>
    <w:rsid w:val="00024165"/>
    <w:rsid w:val="000245CA"/>
    <w:rsid w:val="00024BD6"/>
    <w:rsid w:val="00024BF7"/>
    <w:rsid w:val="00024DE4"/>
    <w:rsid w:val="00024FF6"/>
    <w:rsid w:val="00025456"/>
    <w:rsid w:val="00025B90"/>
    <w:rsid w:val="0002670B"/>
    <w:rsid w:val="000267E3"/>
    <w:rsid w:val="00026985"/>
    <w:rsid w:val="00027A8F"/>
    <w:rsid w:val="00027D48"/>
    <w:rsid w:val="000306FE"/>
    <w:rsid w:val="000309EC"/>
    <w:rsid w:val="00030C84"/>
    <w:rsid w:val="00031937"/>
    <w:rsid w:val="00031A96"/>
    <w:rsid w:val="00032230"/>
    <w:rsid w:val="0003257D"/>
    <w:rsid w:val="000326D8"/>
    <w:rsid w:val="00032B26"/>
    <w:rsid w:val="00033312"/>
    <w:rsid w:val="0003343E"/>
    <w:rsid w:val="00033638"/>
    <w:rsid w:val="00033A52"/>
    <w:rsid w:val="00033B15"/>
    <w:rsid w:val="00033DB1"/>
    <w:rsid w:val="000347FD"/>
    <w:rsid w:val="00035952"/>
    <w:rsid w:val="00035C14"/>
    <w:rsid w:val="00035E51"/>
    <w:rsid w:val="00036843"/>
    <w:rsid w:val="000369C8"/>
    <w:rsid w:val="00040416"/>
    <w:rsid w:val="000410C1"/>
    <w:rsid w:val="0004120F"/>
    <w:rsid w:val="00041776"/>
    <w:rsid w:val="0004212A"/>
    <w:rsid w:val="00042669"/>
    <w:rsid w:val="00042AA3"/>
    <w:rsid w:val="00043B88"/>
    <w:rsid w:val="000441F1"/>
    <w:rsid w:val="000449B7"/>
    <w:rsid w:val="00044AF8"/>
    <w:rsid w:val="000453CA"/>
    <w:rsid w:val="00045570"/>
    <w:rsid w:val="00045861"/>
    <w:rsid w:val="00045CD6"/>
    <w:rsid w:val="00046004"/>
    <w:rsid w:val="00046060"/>
    <w:rsid w:val="00046E34"/>
    <w:rsid w:val="00046F9F"/>
    <w:rsid w:val="000476BB"/>
    <w:rsid w:val="000476F2"/>
    <w:rsid w:val="00047AF2"/>
    <w:rsid w:val="000500D6"/>
    <w:rsid w:val="00050721"/>
    <w:rsid w:val="00051734"/>
    <w:rsid w:val="00051879"/>
    <w:rsid w:val="00051BBF"/>
    <w:rsid w:val="0005215A"/>
    <w:rsid w:val="00053482"/>
    <w:rsid w:val="00053A65"/>
    <w:rsid w:val="00053AD6"/>
    <w:rsid w:val="00053DB7"/>
    <w:rsid w:val="00053F58"/>
    <w:rsid w:val="0005529E"/>
    <w:rsid w:val="00055614"/>
    <w:rsid w:val="00055925"/>
    <w:rsid w:val="00055D08"/>
    <w:rsid w:val="00055DD0"/>
    <w:rsid w:val="00056E8E"/>
    <w:rsid w:val="000572DF"/>
    <w:rsid w:val="00057827"/>
    <w:rsid w:val="00057B7D"/>
    <w:rsid w:val="00057EB8"/>
    <w:rsid w:val="000617F8"/>
    <w:rsid w:val="00061975"/>
    <w:rsid w:val="00061E2E"/>
    <w:rsid w:val="0006231C"/>
    <w:rsid w:val="00062CBA"/>
    <w:rsid w:val="00062E16"/>
    <w:rsid w:val="00062ED8"/>
    <w:rsid w:val="00063364"/>
    <w:rsid w:val="00063373"/>
    <w:rsid w:val="00063A1D"/>
    <w:rsid w:val="00063CB5"/>
    <w:rsid w:val="00064239"/>
    <w:rsid w:val="000642AF"/>
    <w:rsid w:val="0006477B"/>
    <w:rsid w:val="00064BA9"/>
    <w:rsid w:val="00064BD3"/>
    <w:rsid w:val="00064EA8"/>
    <w:rsid w:val="00065259"/>
    <w:rsid w:val="00065451"/>
    <w:rsid w:val="000655A9"/>
    <w:rsid w:val="00065991"/>
    <w:rsid w:val="00065C24"/>
    <w:rsid w:val="00066095"/>
    <w:rsid w:val="00066283"/>
    <w:rsid w:val="00066286"/>
    <w:rsid w:val="0006680E"/>
    <w:rsid w:val="00066CD1"/>
    <w:rsid w:val="00067459"/>
    <w:rsid w:val="00067741"/>
    <w:rsid w:val="000678AC"/>
    <w:rsid w:val="00067B4A"/>
    <w:rsid w:val="00067E7F"/>
    <w:rsid w:val="00070108"/>
    <w:rsid w:val="00070552"/>
    <w:rsid w:val="000705C1"/>
    <w:rsid w:val="000706ED"/>
    <w:rsid w:val="000707A3"/>
    <w:rsid w:val="00070899"/>
    <w:rsid w:val="00070A2D"/>
    <w:rsid w:val="00071109"/>
    <w:rsid w:val="00071810"/>
    <w:rsid w:val="00071B55"/>
    <w:rsid w:val="00071CAF"/>
    <w:rsid w:val="00071DD6"/>
    <w:rsid w:val="00072136"/>
    <w:rsid w:val="00072BAA"/>
    <w:rsid w:val="00072C8D"/>
    <w:rsid w:val="0007319D"/>
    <w:rsid w:val="00073457"/>
    <w:rsid w:val="000736AA"/>
    <w:rsid w:val="000737A4"/>
    <w:rsid w:val="000738DF"/>
    <w:rsid w:val="000741A3"/>
    <w:rsid w:val="00074337"/>
    <w:rsid w:val="00074476"/>
    <w:rsid w:val="00074844"/>
    <w:rsid w:val="00074C38"/>
    <w:rsid w:val="00075216"/>
    <w:rsid w:val="000754D5"/>
    <w:rsid w:val="00076415"/>
    <w:rsid w:val="00076794"/>
    <w:rsid w:val="0007736A"/>
    <w:rsid w:val="00077425"/>
    <w:rsid w:val="0007767A"/>
    <w:rsid w:val="00080010"/>
    <w:rsid w:val="00080F11"/>
    <w:rsid w:val="00080F5E"/>
    <w:rsid w:val="00081A07"/>
    <w:rsid w:val="00082333"/>
    <w:rsid w:val="000823E4"/>
    <w:rsid w:val="0008278D"/>
    <w:rsid w:val="00082DFF"/>
    <w:rsid w:val="00082E65"/>
    <w:rsid w:val="00083239"/>
    <w:rsid w:val="0008334E"/>
    <w:rsid w:val="000836FF"/>
    <w:rsid w:val="0008380C"/>
    <w:rsid w:val="00083DEF"/>
    <w:rsid w:val="00083EE3"/>
    <w:rsid w:val="000846BE"/>
    <w:rsid w:val="00084748"/>
    <w:rsid w:val="000852BF"/>
    <w:rsid w:val="000853F6"/>
    <w:rsid w:val="000858E9"/>
    <w:rsid w:val="00085E1C"/>
    <w:rsid w:val="0008619F"/>
    <w:rsid w:val="000865AA"/>
    <w:rsid w:val="00086C6E"/>
    <w:rsid w:val="00087430"/>
    <w:rsid w:val="00087551"/>
    <w:rsid w:val="0008775B"/>
    <w:rsid w:val="00087EC1"/>
    <w:rsid w:val="00087EE1"/>
    <w:rsid w:val="00087EFB"/>
    <w:rsid w:val="00090202"/>
    <w:rsid w:val="00090AF4"/>
    <w:rsid w:val="00090C53"/>
    <w:rsid w:val="000918BC"/>
    <w:rsid w:val="00091942"/>
    <w:rsid w:val="00091A7F"/>
    <w:rsid w:val="00091E02"/>
    <w:rsid w:val="00092A19"/>
    <w:rsid w:val="00093371"/>
    <w:rsid w:val="00093A1B"/>
    <w:rsid w:val="00093E2B"/>
    <w:rsid w:val="00094050"/>
    <w:rsid w:val="000944FE"/>
    <w:rsid w:val="0009458D"/>
    <w:rsid w:val="00094A23"/>
    <w:rsid w:val="00094E26"/>
    <w:rsid w:val="0009511C"/>
    <w:rsid w:val="00095331"/>
    <w:rsid w:val="000958AF"/>
    <w:rsid w:val="00096497"/>
    <w:rsid w:val="00096FA6"/>
    <w:rsid w:val="00097862"/>
    <w:rsid w:val="00097889"/>
    <w:rsid w:val="000A1AB2"/>
    <w:rsid w:val="000A1BF3"/>
    <w:rsid w:val="000A2C08"/>
    <w:rsid w:val="000A2D14"/>
    <w:rsid w:val="000A2D19"/>
    <w:rsid w:val="000A2D1D"/>
    <w:rsid w:val="000A424A"/>
    <w:rsid w:val="000A47FE"/>
    <w:rsid w:val="000A4A23"/>
    <w:rsid w:val="000A4AD2"/>
    <w:rsid w:val="000A5922"/>
    <w:rsid w:val="000A5B5B"/>
    <w:rsid w:val="000A5E16"/>
    <w:rsid w:val="000A5FC5"/>
    <w:rsid w:val="000A60A1"/>
    <w:rsid w:val="000A6C8D"/>
    <w:rsid w:val="000A74BA"/>
    <w:rsid w:val="000A7DD5"/>
    <w:rsid w:val="000A7E28"/>
    <w:rsid w:val="000B04CE"/>
    <w:rsid w:val="000B057B"/>
    <w:rsid w:val="000B072C"/>
    <w:rsid w:val="000B0FCB"/>
    <w:rsid w:val="000B12F0"/>
    <w:rsid w:val="000B1376"/>
    <w:rsid w:val="000B1C5F"/>
    <w:rsid w:val="000B1E68"/>
    <w:rsid w:val="000B20C3"/>
    <w:rsid w:val="000B2992"/>
    <w:rsid w:val="000B29FE"/>
    <w:rsid w:val="000B2E7A"/>
    <w:rsid w:val="000B346C"/>
    <w:rsid w:val="000B3E87"/>
    <w:rsid w:val="000B404E"/>
    <w:rsid w:val="000B4083"/>
    <w:rsid w:val="000B4154"/>
    <w:rsid w:val="000B46D9"/>
    <w:rsid w:val="000B4929"/>
    <w:rsid w:val="000B4A3D"/>
    <w:rsid w:val="000B5075"/>
    <w:rsid w:val="000B5A6C"/>
    <w:rsid w:val="000B5CD0"/>
    <w:rsid w:val="000B5E1C"/>
    <w:rsid w:val="000B6143"/>
    <w:rsid w:val="000B6B1B"/>
    <w:rsid w:val="000B6D0C"/>
    <w:rsid w:val="000B72EA"/>
    <w:rsid w:val="000B75A4"/>
    <w:rsid w:val="000B76E1"/>
    <w:rsid w:val="000B778D"/>
    <w:rsid w:val="000C0275"/>
    <w:rsid w:val="000C0470"/>
    <w:rsid w:val="000C070B"/>
    <w:rsid w:val="000C10D5"/>
    <w:rsid w:val="000C18E5"/>
    <w:rsid w:val="000C1B89"/>
    <w:rsid w:val="000C1CC5"/>
    <w:rsid w:val="000C1F8D"/>
    <w:rsid w:val="000C20CC"/>
    <w:rsid w:val="000C25EB"/>
    <w:rsid w:val="000C2639"/>
    <w:rsid w:val="000C27C6"/>
    <w:rsid w:val="000C283B"/>
    <w:rsid w:val="000C3476"/>
    <w:rsid w:val="000C3496"/>
    <w:rsid w:val="000C3815"/>
    <w:rsid w:val="000C3E95"/>
    <w:rsid w:val="000C487F"/>
    <w:rsid w:val="000C4AD1"/>
    <w:rsid w:val="000C51BD"/>
    <w:rsid w:val="000C51D3"/>
    <w:rsid w:val="000C5320"/>
    <w:rsid w:val="000C54D3"/>
    <w:rsid w:val="000C5BA6"/>
    <w:rsid w:val="000C5BDD"/>
    <w:rsid w:val="000C662D"/>
    <w:rsid w:val="000C7076"/>
    <w:rsid w:val="000C71BD"/>
    <w:rsid w:val="000C795B"/>
    <w:rsid w:val="000C7961"/>
    <w:rsid w:val="000C7E9B"/>
    <w:rsid w:val="000D0188"/>
    <w:rsid w:val="000D1059"/>
    <w:rsid w:val="000D15A1"/>
    <w:rsid w:val="000D17AF"/>
    <w:rsid w:val="000D2677"/>
    <w:rsid w:val="000D2952"/>
    <w:rsid w:val="000D29F4"/>
    <w:rsid w:val="000D2CF4"/>
    <w:rsid w:val="000D2D05"/>
    <w:rsid w:val="000D2DE9"/>
    <w:rsid w:val="000D2DF6"/>
    <w:rsid w:val="000D2F4D"/>
    <w:rsid w:val="000D34A3"/>
    <w:rsid w:val="000D3566"/>
    <w:rsid w:val="000D365F"/>
    <w:rsid w:val="000D3F6A"/>
    <w:rsid w:val="000D4B4D"/>
    <w:rsid w:val="000D4B80"/>
    <w:rsid w:val="000D4BC3"/>
    <w:rsid w:val="000D4CB3"/>
    <w:rsid w:val="000D515B"/>
    <w:rsid w:val="000D57BA"/>
    <w:rsid w:val="000D58D6"/>
    <w:rsid w:val="000D5BE8"/>
    <w:rsid w:val="000D734F"/>
    <w:rsid w:val="000D7477"/>
    <w:rsid w:val="000D7805"/>
    <w:rsid w:val="000D7EEB"/>
    <w:rsid w:val="000E0059"/>
    <w:rsid w:val="000E055B"/>
    <w:rsid w:val="000E058F"/>
    <w:rsid w:val="000E08B2"/>
    <w:rsid w:val="000E0D12"/>
    <w:rsid w:val="000E0DAA"/>
    <w:rsid w:val="000E0E1E"/>
    <w:rsid w:val="000E0EB5"/>
    <w:rsid w:val="000E0F3C"/>
    <w:rsid w:val="000E1495"/>
    <w:rsid w:val="000E193E"/>
    <w:rsid w:val="000E3036"/>
    <w:rsid w:val="000E3B60"/>
    <w:rsid w:val="000E3BAE"/>
    <w:rsid w:val="000E3E7A"/>
    <w:rsid w:val="000E4641"/>
    <w:rsid w:val="000E488C"/>
    <w:rsid w:val="000E4E2E"/>
    <w:rsid w:val="000E51BC"/>
    <w:rsid w:val="000E56E2"/>
    <w:rsid w:val="000E5739"/>
    <w:rsid w:val="000E5997"/>
    <w:rsid w:val="000E5A40"/>
    <w:rsid w:val="000E5B2A"/>
    <w:rsid w:val="000E5CCD"/>
    <w:rsid w:val="000E5D0D"/>
    <w:rsid w:val="000E60F8"/>
    <w:rsid w:val="000E6989"/>
    <w:rsid w:val="000E7209"/>
    <w:rsid w:val="000E7387"/>
    <w:rsid w:val="000E76E2"/>
    <w:rsid w:val="000E79A8"/>
    <w:rsid w:val="000E79C1"/>
    <w:rsid w:val="000E7AE8"/>
    <w:rsid w:val="000F049B"/>
    <w:rsid w:val="000F058D"/>
    <w:rsid w:val="000F0DA3"/>
    <w:rsid w:val="000F1214"/>
    <w:rsid w:val="000F19C1"/>
    <w:rsid w:val="000F2939"/>
    <w:rsid w:val="000F2D5F"/>
    <w:rsid w:val="000F3450"/>
    <w:rsid w:val="000F3942"/>
    <w:rsid w:val="000F3AC7"/>
    <w:rsid w:val="000F41CA"/>
    <w:rsid w:val="000F4380"/>
    <w:rsid w:val="000F45C8"/>
    <w:rsid w:val="000F462B"/>
    <w:rsid w:val="000F4B0C"/>
    <w:rsid w:val="000F4F51"/>
    <w:rsid w:val="000F5067"/>
    <w:rsid w:val="000F53ED"/>
    <w:rsid w:val="000F55E5"/>
    <w:rsid w:val="000F62DA"/>
    <w:rsid w:val="000F794A"/>
    <w:rsid w:val="000F7C74"/>
    <w:rsid w:val="00100404"/>
    <w:rsid w:val="001009C9"/>
    <w:rsid w:val="00100D98"/>
    <w:rsid w:val="00100FAB"/>
    <w:rsid w:val="001012BA"/>
    <w:rsid w:val="001016EC"/>
    <w:rsid w:val="00101781"/>
    <w:rsid w:val="0010198B"/>
    <w:rsid w:val="00101A90"/>
    <w:rsid w:val="00101FE5"/>
    <w:rsid w:val="0010220A"/>
    <w:rsid w:val="00102276"/>
    <w:rsid w:val="001023B3"/>
    <w:rsid w:val="001030E8"/>
    <w:rsid w:val="00103354"/>
    <w:rsid w:val="00103988"/>
    <w:rsid w:val="00103E94"/>
    <w:rsid w:val="00103FCC"/>
    <w:rsid w:val="001043AB"/>
    <w:rsid w:val="001057E4"/>
    <w:rsid w:val="00105C3B"/>
    <w:rsid w:val="00105CC5"/>
    <w:rsid w:val="00105EBF"/>
    <w:rsid w:val="00105FFE"/>
    <w:rsid w:val="001068D2"/>
    <w:rsid w:val="0010690C"/>
    <w:rsid w:val="00106959"/>
    <w:rsid w:val="001069AF"/>
    <w:rsid w:val="00106B8A"/>
    <w:rsid w:val="00106E19"/>
    <w:rsid w:val="00106EF4"/>
    <w:rsid w:val="0010734F"/>
    <w:rsid w:val="00107432"/>
    <w:rsid w:val="00107A66"/>
    <w:rsid w:val="00107B97"/>
    <w:rsid w:val="00107D8A"/>
    <w:rsid w:val="001100B3"/>
    <w:rsid w:val="00110318"/>
    <w:rsid w:val="001107CB"/>
    <w:rsid w:val="001108D7"/>
    <w:rsid w:val="001111A3"/>
    <w:rsid w:val="00111626"/>
    <w:rsid w:val="00111D58"/>
    <w:rsid w:val="00112008"/>
    <w:rsid w:val="00112A52"/>
    <w:rsid w:val="00112EB2"/>
    <w:rsid w:val="00113A1E"/>
    <w:rsid w:val="00113D53"/>
    <w:rsid w:val="00114083"/>
    <w:rsid w:val="0011428C"/>
    <w:rsid w:val="0011429F"/>
    <w:rsid w:val="001142BF"/>
    <w:rsid w:val="001144CE"/>
    <w:rsid w:val="00114548"/>
    <w:rsid w:val="00114555"/>
    <w:rsid w:val="001147A1"/>
    <w:rsid w:val="00115772"/>
    <w:rsid w:val="00115AE0"/>
    <w:rsid w:val="00116127"/>
    <w:rsid w:val="00116A12"/>
    <w:rsid w:val="00117AC8"/>
    <w:rsid w:val="00117DB5"/>
    <w:rsid w:val="001200AF"/>
    <w:rsid w:val="001209E8"/>
    <w:rsid w:val="00120BFC"/>
    <w:rsid w:val="00120FEC"/>
    <w:rsid w:val="00121349"/>
    <w:rsid w:val="001214B6"/>
    <w:rsid w:val="00121649"/>
    <w:rsid w:val="00121A26"/>
    <w:rsid w:val="00121E60"/>
    <w:rsid w:val="0012258B"/>
    <w:rsid w:val="00122981"/>
    <w:rsid w:val="00122F2F"/>
    <w:rsid w:val="00122FDE"/>
    <w:rsid w:val="0012357F"/>
    <w:rsid w:val="00123CB6"/>
    <w:rsid w:val="00125827"/>
    <w:rsid w:val="0012656D"/>
    <w:rsid w:val="00126E0E"/>
    <w:rsid w:val="00126FD5"/>
    <w:rsid w:val="001273C0"/>
    <w:rsid w:val="00127460"/>
    <w:rsid w:val="0012763E"/>
    <w:rsid w:val="001276C3"/>
    <w:rsid w:val="0012782F"/>
    <w:rsid w:val="0012783A"/>
    <w:rsid w:val="00127FBD"/>
    <w:rsid w:val="00130BCE"/>
    <w:rsid w:val="001313C1"/>
    <w:rsid w:val="00131669"/>
    <w:rsid w:val="001318FD"/>
    <w:rsid w:val="00131ABF"/>
    <w:rsid w:val="00131D6C"/>
    <w:rsid w:val="00131D79"/>
    <w:rsid w:val="001323BD"/>
    <w:rsid w:val="00132DC4"/>
    <w:rsid w:val="00133083"/>
    <w:rsid w:val="00133C2F"/>
    <w:rsid w:val="0013422C"/>
    <w:rsid w:val="00134770"/>
    <w:rsid w:val="0013499D"/>
    <w:rsid w:val="00135143"/>
    <w:rsid w:val="00135308"/>
    <w:rsid w:val="001359D4"/>
    <w:rsid w:val="00135FB7"/>
    <w:rsid w:val="0013608E"/>
    <w:rsid w:val="00136243"/>
    <w:rsid w:val="00136F6F"/>
    <w:rsid w:val="001375AC"/>
    <w:rsid w:val="001401B1"/>
    <w:rsid w:val="001408F3"/>
    <w:rsid w:val="00141216"/>
    <w:rsid w:val="0014145A"/>
    <w:rsid w:val="00141467"/>
    <w:rsid w:val="0014161C"/>
    <w:rsid w:val="00141CCF"/>
    <w:rsid w:val="00141D10"/>
    <w:rsid w:val="001427D5"/>
    <w:rsid w:val="00143321"/>
    <w:rsid w:val="00143517"/>
    <w:rsid w:val="00143578"/>
    <w:rsid w:val="001440DB"/>
    <w:rsid w:val="00144147"/>
    <w:rsid w:val="00144962"/>
    <w:rsid w:val="00144D8F"/>
    <w:rsid w:val="0014560C"/>
    <w:rsid w:val="00145AE6"/>
    <w:rsid w:val="0014637C"/>
    <w:rsid w:val="00146B11"/>
    <w:rsid w:val="00146C6D"/>
    <w:rsid w:val="00146E1A"/>
    <w:rsid w:val="001470BF"/>
    <w:rsid w:val="0014747D"/>
    <w:rsid w:val="001479E4"/>
    <w:rsid w:val="00147A6B"/>
    <w:rsid w:val="00147BFA"/>
    <w:rsid w:val="00147D82"/>
    <w:rsid w:val="00147F55"/>
    <w:rsid w:val="001500AB"/>
    <w:rsid w:val="001504EE"/>
    <w:rsid w:val="00150748"/>
    <w:rsid w:val="001512E2"/>
    <w:rsid w:val="00151A60"/>
    <w:rsid w:val="0015220B"/>
    <w:rsid w:val="00152237"/>
    <w:rsid w:val="0015275F"/>
    <w:rsid w:val="00152BD7"/>
    <w:rsid w:val="00152BDF"/>
    <w:rsid w:val="00153096"/>
    <w:rsid w:val="00153192"/>
    <w:rsid w:val="00153921"/>
    <w:rsid w:val="00153B8C"/>
    <w:rsid w:val="00153D01"/>
    <w:rsid w:val="00154995"/>
    <w:rsid w:val="00154AFD"/>
    <w:rsid w:val="0015532C"/>
    <w:rsid w:val="001559F9"/>
    <w:rsid w:val="00155DDA"/>
    <w:rsid w:val="001560C9"/>
    <w:rsid w:val="001565F1"/>
    <w:rsid w:val="001574E6"/>
    <w:rsid w:val="00157E39"/>
    <w:rsid w:val="0016015D"/>
    <w:rsid w:val="001604DC"/>
    <w:rsid w:val="001604E9"/>
    <w:rsid w:val="001605C0"/>
    <w:rsid w:val="00160BA5"/>
    <w:rsid w:val="001610AF"/>
    <w:rsid w:val="0016130F"/>
    <w:rsid w:val="001613DC"/>
    <w:rsid w:val="001614F2"/>
    <w:rsid w:val="00161C57"/>
    <w:rsid w:val="001623FA"/>
    <w:rsid w:val="0016259E"/>
    <w:rsid w:val="001628C8"/>
    <w:rsid w:val="00162970"/>
    <w:rsid w:val="0016346E"/>
    <w:rsid w:val="00163B12"/>
    <w:rsid w:val="00163DED"/>
    <w:rsid w:val="0016414B"/>
    <w:rsid w:val="00164250"/>
    <w:rsid w:val="00164331"/>
    <w:rsid w:val="001650AC"/>
    <w:rsid w:val="0016510F"/>
    <w:rsid w:val="00165B33"/>
    <w:rsid w:val="00165BF3"/>
    <w:rsid w:val="00165C20"/>
    <w:rsid w:val="00166CE0"/>
    <w:rsid w:val="00166E43"/>
    <w:rsid w:val="00166FAB"/>
    <w:rsid w:val="001672FB"/>
    <w:rsid w:val="001674F6"/>
    <w:rsid w:val="00167B5B"/>
    <w:rsid w:val="00167C01"/>
    <w:rsid w:val="00167F96"/>
    <w:rsid w:val="001701AC"/>
    <w:rsid w:val="001703DF"/>
    <w:rsid w:val="0017086E"/>
    <w:rsid w:val="001708EB"/>
    <w:rsid w:val="00170F9B"/>
    <w:rsid w:val="001718B6"/>
    <w:rsid w:val="001728DE"/>
    <w:rsid w:val="00173552"/>
    <w:rsid w:val="00173633"/>
    <w:rsid w:val="00173790"/>
    <w:rsid w:val="00173979"/>
    <w:rsid w:val="00174404"/>
    <w:rsid w:val="00174CC9"/>
    <w:rsid w:val="00174F98"/>
    <w:rsid w:val="00175199"/>
    <w:rsid w:val="0017533D"/>
    <w:rsid w:val="001756B6"/>
    <w:rsid w:val="00175DBD"/>
    <w:rsid w:val="001765BE"/>
    <w:rsid w:val="00176A38"/>
    <w:rsid w:val="00177A7B"/>
    <w:rsid w:val="00180159"/>
    <w:rsid w:val="00180370"/>
    <w:rsid w:val="00180579"/>
    <w:rsid w:val="0018117D"/>
    <w:rsid w:val="00181854"/>
    <w:rsid w:val="00181AAA"/>
    <w:rsid w:val="00181AC7"/>
    <w:rsid w:val="00181E8C"/>
    <w:rsid w:val="001822D3"/>
    <w:rsid w:val="00182971"/>
    <w:rsid w:val="00182B79"/>
    <w:rsid w:val="00182E81"/>
    <w:rsid w:val="001832CB"/>
    <w:rsid w:val="001838CB"/>
    <w:rsid w:val="00183B3E"/>
    <w:rsid w:val="00183D01"/>
    <w:rsid w:val="00183EC1"/>
    <w:rsid w:val="00183EF6"/>
    <w:rsid w:val="00184554"/>
    <w:rsid w:val="001846A0"/>
    <w:rsid w:val="00184930"/>
    <w:rsid w:val="00185191"/>
    <w:rsid w:val="001864AB"/>
    <w:rsid w:val="00186ACF"/>
    <w:rsid w:val="00186D74"/>
    <w:rsid w:val="00186F1E"/>
    <w:rsid w:val="00190258"/>
    <w:rsid w:val="001906F4"/>
    <w:rsid w:val="00190C02"/>
    <w:rsid w:val="00190C51"/>
    <w:rsid w:val="00190FE8"/>
    <w:rsid w:val="00191BA7"/>
    <w:rsid w:val="0019223F"/>
    <w:rsid w:val="00192264"/>
    <w:rsid w:val="001927C6"/>
    <w:rsid w:val="001932CF"/>
    <w:rsid w:val="00193413"/>
    <w:rsid w:val="00193495"/>
    <w:rsid w:val="00193510"/>
    <w:rsid w:val="00193923"/>
    <w:rsid w:val="00193B3F"/>
    <w:rsid w:val="00193F01"/>
    <w:rsid w:val="00195129"/>
    <w:rsid w:val="00196244"/>
    <w:rsid w:val="00196269"/>
    <w:rsid w:val="00196296"/>
    <w:rsid w:val="001965C3"/>
    <w:rsid w:val="0019663D"/>
    <w:rsid w:val="00196B0B"/>
    <w:rsid w:val="00197385"/>
    <w:rsid w:val="00197631"/>
    <w:rsid w:val="001979A1"/>
    <w:rsid w:val="00197C75"/>
    <w:rsid w:val="001A0005"/>
    <w:rsid w:val="001A00C9"/>
    <w:rsid w:val="001A022D"/>
    <w:rsid w:val="001A06FB"/>
    <w:rsid w:val="001A14C8"/>
    <w:rsid w:val="001A16C4"/>
    <w:rsid w:val="001A1804"/>
    <w:rsid w:val="001A1C67"/>
    <w:rsid w:val="001A1D21"/>
    <w:rsid w:val="001A1E5E"/>
    <w:rsid w:val="001A20FB"/>
    <w:rsid w:val="001A2E9A"/>
    <w:rsid w:val="001A2EF4"/>
    <w:rsid w:val="001A30CA"/>
    <w:rsid w:val="001A3807"/>
    <w:rsid w:val="001A3DAA"/>
    <w:rsid w:val="001A4726"/>
    <w:rsid w:val="001A47B1"/>
    <w:rsid w:val="001A4D7B"/>
    <w:rsid w:val="001A5253"/>
    <w:rsid w:val="001A5694"/>
    <w:rsid w:val="001A6717"/>
    <w:rsid w:val="001A683F"/>
    <w:rsid w:val="001A6FDA"/>
    <w:rsid w:val="001A708A"/>
    <w:rsid w:val="001A70BA"/>
    <w:rsid w:val="001A7138"/>
    <w:rsid w:val="001A7605"/>
    <w:rsid w:val="001A76BF"/>
    <w:rsid w:val="001A7B54"/>
    <w:rsid w:val="001A7B66"/>
    <w:rsid w:val="001B06F9"/>
    <w:rsid w:val="001B0B04"/>
    <w:rsid w:val="001B0E2C"/>
    <w:rsid w:val="001B1571"/>
    <w:rsid w:val="001B1821"/>
    <w:rsid w:val="001B1E40"/>
    <w:rsid w:val="001B21B7"/>
    <w:rsid w:val="001B285E"/>
    <w:rsid w:val="001B2897"/>
    <w:rsid w:val="001B2958"/>
    <w:rsid w:val="001B29CF"/>
    <w:rsid w:val="001B2B19"/>
    <w:rsid w:val="001B2CE4"/>
    <w:rsid w:val="001B2E72"/>
    <w:rsid w:val="001B3A8F"/>
    <w:rsid w:val="001B3C43"/>
    <w:rsid w:val="001B3FE3"/>
    <w:rsid w:val="001B423D"/>
    <w:rsid w:val="001B4D15"/>
    <w:rsid w:val="001B55B2"/>
    <w:rsid w:val="001B5DC7"/>
    <w:rsid w:val="001B61DF"/>
    <w:rsid w:val="001B631F"/>
    <w:rsid w:val="001B65C3"/>
    <w:rsid w:val="001B6A91"/>
    <w:rsid w:val="001B6D43"/>
    <w:rsid w:val="001B71EE"/>
    <w:rsid w:val="001B7969"/>
    <w:rsid w:val="001B7BC8"/>
    <w:rsid w:val="001C0194"/>
    <w:rsid w:val="001C0332"/>
    <w:rsid w:val="001C0450"/>
    <w:rsid w:val="001C0F2D"/>
    <w:rsid w:val="001C0FBC"/>
    <w:rsid w:val="001C19CB"/>
    <w:rsid w:val="001C1B0B"/>
    <w:rsid w:val="001C1F0C"/>
    <w:rsid w:val="001C236C"/>
    <w:rsid w:val="001C2953"/>
    <w:rsid w:val="001C29A0"/>
    <w:rsid w:val="001C2DA4"/>
    <w:rsid w:val="001C2E49"/>
    <w:rsid w:val="001C336B"/>
    <w:rsid w:val="001C34B5"/>
    <w:rsid w:val="001C353B"/>
    <w:rsid w:val="001C3932"/>
    <w:rsid w:val="001C3AE9"/>
    <w:rsid w:val="001C3BBF"/>
    <w:rsid w:val="001C3C74"/>
    <w:rsid w:val="001C3CED"/>
    <w:rsid w:val="001C3E21"/>
    <w:rsid w:val="001C3EA4"/>
    <w:rsid w:val="001C41AB"/>
    <w:rsid w:val="001C4E87"/>
    <w:rsid w:val="001C508F"/>
    <w:rsid w:val="001C5217"/>
    <w:rsid w:val="001C54EC"/>
    <w:rsid w:val="001C55F6"/>
    <w:rsid w:val="001C5F1C"/>
    <w:rsid w:val="001C6301"/>
    <w:rsid w:val="001C677D"/>
    <w:rsid w:val="001C709A"/>
    <w:rsid w:val="001C7576"/>
    <w:rsid w:val="001C76CC"/>
    <w:rsid w:val="001C788D"/>
    <w:rsid w:val="001D0130"/>
    <w:rsid w:val="001D016C"/>
    <w:rsid w:val="001D10C0"/>
    <w:rsid w:val="001D1179"/>
    <w:rsid w:val="001D17CB"/>
    <w:rsid w:val="001D1A94"/>
    <w:rsid w:val="001D1C90"/>
    <w:rsid w:val="001D1C9B"/>
    <w:rsid w:val="001D1D27"/>
    <w:rsid w:val="001D2C47"/>
    <w:rsid w:val="001D2C62"/>
    <w:rsid w:val="001D37C1"/>
    <w:rsid w:val="001D3F63"/>
    <w:rsid w:val="001D41AC"/>
    <w:rsid w:val="001D47C7"/>
    <w:rsid w:val="001D4B18"/>
    <w:rsid w:val="001D54E4"/>
    <w:rsid w:val="001D6D16"/>
    <w:rsid w:val="001D708B"/>
    <w:rsid w:val="001D73AE"/>
    <w:rsid w:val="001D758E"/>
    <w:rsid w:val="001E06F3"/>
    <w:rsid w:val="001E0870"/>
    <w:rsid w:val="001E0EF9"/>
    <w:rsid w:val="001E130A"/>
    <w:rsid w:val="001E13D9"/>
    <w:rsid w:val="001E13DE"/>
    <w:rsid w:val="001E1AAB"/>
    <w:rsid w:val="001E1FE1"/>
    <w:rsid w:val="001E2C3C"/>
    <w:rsid w:val="001E3041"/>
    <w:rsid w:val="001E331B"/>
    <w:rsid w:val="001E390B"/>
    <w:rsid w:val="001E40E6"/>
    <w:rsid w:val="001E4277"/>
    <w:rsid w:val="001E4671"/>
    <w:rsid w:val="001E4B95"/>
    <w:rsid w:val="001E4C34"/>
    <w:rsid w:val="001E4D39"/>
    <w:rsid w:val="001E4E3D"/>
    <w:rsid w:val="001E5588"/>
    <w:rsid w:val="001E599B"/>
    <w:rsid w:val="001E5D28"/>
    <w:rsid w:val="001E62DA"/>
    <w:rsid w:val="001E7182"/>
    <w:rsid w:val="001E71BF"/>
    <w:rsid w:val="001E7E64"/>
    <w:rsid w:val="001F07B8"/>
    <w:rsid w:val="001F0FAB"/>
    <w:rsid w:val="001F135F"/>
    <w:rsid w:val="001F144F"/>
    <w:rsid w:val="001F1968"/>
    <w:rsid w:val="001F1AB6"/>
    <w:rsid w:val="001F1BB6"/>
    <w:rsid w:val="001F2354"/>
    <w:rsid w:val="001F25FC"/>
    <w:rsid w:val="001F2638"/>
    <w:rsid w:val="001F265E"/>
    <w:rsid w:val="001F2E5B"/>
    <w:rsid w:val="001F3125"/>
    <w:rsid w:val="001F3668"/>
    <w:rsid w:val="001F3B9A"/>
    <w:rsid w:val="001F3D1E"/>
    <w:rsid w:val="001F43AE"/>
    <w:rsid w:val="001F488D"/>
    <w:rsid w:val="001F4E44"/>
    <w:rsid w:val="001F5147"/>
    <w:rsid w:val="001F5A10"/>
    <w:rsid w:val="001F66A7"/>
    <w:rsid w:val="001F67A2"/>
    <w:rsid w:val="001F7025"/>
    <w:rsid w:val="001F7159"/>
    <w:rsid w:val="001F71DC"/>
    <w:rsid w:val="001F7309"/>
    <w:rsid w:val="001F742E"/>
    <w:rsid w:val="001F795A"/>
    <w:rsid w:val="001F7E01"/>
    <w:rsid w:val="00200036"/>
    <w:rsid w:val="00200099"/>
    <w:rsid w:val="0020052E"/>
    <w:rsid w:val="002005A3"/>
    <w:rsid w:val="002005AD"/>
    <w:rsid w:val="002006B9"/>
    <w:rsid w:val="002010C5"/>
    <w:rsid w:val="0020110D"/>
    <w:rsid w:val="00201159"/>
    <w:rsid w:val="0020176B"/>
    <w:rsid w:val="002018EA"/>
    <w:rsid w:val="00201941"/>
    <w:rsid w:val="0020195F"/>
    <w:rsid w:val="002019BE"/>
    <w:rsid w:val="002019FF"/>
    <w:rsid w:val="00201C51"/>
    <w:rsid w:val="00201CD8"/>
    <w:rsid w:val="0020227E"/>
    <w:rsid w:val="00203326"/>
    <w:rsid w:val="00203672"/>
    <w:rsid w:val="00203ADF"/>
    <w:rsid w:val="002043B3"/>
    <w:rsid w:val="00204580"/>
    <w:rsid w:val="002049C5"/>
    <w:rsid w:val="00205055"/>
    <w:rsid w:val="00205BCA"/>
    <w:rsid w:val="0020607F"/>
    <w:rsid w:val="00206722"/>
    <w:rsid w:val="00206BA3"/>
    <w:rsid w:val="00206DBE"/>
    <w:rsid w:val="0020712A"/>
    <w:rsid w:val="002072B5"/>
    <w:rsid w:val="00207811"/>
    <w:rsid w:val="00210490"/>
    <w:rsid w:val="00210821"/>
    <w:rsid w:val="00210ABD"/>
    <w:rsid w:val="00210CD5"/>
    <w:rsid w:val="00211AE8"/>
    <w:rsid w:val="0021268B"/>
    <w:rsid w:val="002131CF"/>
    <w:rsid w:val="002131FE"/>
    <w:rsid w:val="00213435"/>
    <w:rsid w:val="00213F42"/>
    <w:rsid w:val="0021423B"/>
    <w:rsid w:val="002147BD"/>
    <w:rsid w:val="00214947"/>
    <w:rsid w:val="00215937"/>
    <w:rsid w:val="002159F6"/>
    <w:rsid w:val="00216846"/>
    <w:rsid w:val="0021699A"/>
    <w:rsid w:val="00216CDE"/>
    <w:rsid w:val="00216D1A"/>
    <w:rsid w:val="00216E57"/>
    <w:rsid w:val="00216FC2"/>
    <w:rsid w:val="002171B6"/>
    <w:rsid w:val="0021724C"/>
    <w:rsid w:val="002174ED"/>
    <w:rsid w:val="00217A54"/>
    <w:rsid w:val="00217C88"/>
    <w:rsid w:val="00217D1E"/>
    <w:rsid w:val="00220281"/>
    <w:rsid w:val="0022065E"/>
    <w:rsid w:val="00220900"/>
    <w:rsid w:val="002212A3"/>
    <w:rsid w:val="00222047"/>
    <w:rsid w:val="00222182"/>
    <w:rsid w:val="00222586"/>
    <w:rsid w:val="00222AA5"/>
    <w:rsid w:val="0022319A"/>
    <w:rsid w:val="00223887"/>
    <w:rsid w:val="002240B7"/>
    <w:rsid w:val="00224D47"/>
    <w:rsid w:val="00225339"/>
    <w:rsid w:val="0022594D"/>
    <w:rsid w:val="00225A9A"/>
    <w:rsid w:val="00225C31"/>
    <w:rsid w:val="002260FB"/>
    <w:rsid w:val="00227028"/>
    <w:rsid w:val="00227041"/>
    <w:rsid w:val="002272A3"/>
    <w:rsid w:val="0022750D"/>
    <w:rsid w:val="002302B8"/>
    <w:rsid w:val="00230328"/>
    <w:rsid w:val="002303FC"/>
    <w:rsid w:val="0023095F"/>
    <w:rsid w:val="00230F64"/>
    <w:rsid w:val="00230F8E"/>
    <w:rsid w:val="002316AF"/>
    <w:rsid w:val="0023226A"/>
    <w:rsid w:val="00232937"/>
    <w:rsid w:val="00233216"/>
    <w:rsid w:val="0023357F"/>
    <w:rsid w:val="002338A1"/>
    <w:rsid w:val="002338DE"/>
    <w:rsid w:val="00234118"/>
    <w:rsid w:val="00234332"/>
    <w:rsid w:val="0023437E"/>
    <w:rsid w:val="00235297"/>
    <w:rsid w:val="002352FA"/>
    <w:rsid w:val="0023542F"/>
    <w:rsid w:val="00235A61"/>
    <w:rsid w:val="00235C4F"/>
    <w:rsid w:val="00236A70"/>
    <w:rsid w:val="0023749B"/>
    <w:rsid w:val="002375A0"/>
    <w:rsid w:val="00237978"/>
    <w:rsid w:val="002400B8"/>
    <w:rsid w:val="00240382"/>
    <w:rsid w:val="00240BCF"/>
    <w:rsid w:val="002410AF"/>
    <w:rsid w:val="00241428"/>
    <w:rsid w:val="00241496"/>
    <w:rsid w:val="002415CC"/>
    <w:rsid w:val="00241721"/>
    <w:rsid w:val="00241AC2"/>
    <w:rsid w:val="00241DF5"/>
    <w:rsid w:val="00242D1F"/>
    <w:rsid w:val="00242F33"/>
    <w:rsid w:val="00243641"/>
    <w:rsid w:val="00243DA8"/>
    <w:rsid w:val="0024408C"/>
    <w:rsid w:val="002440D9"/>
    <w:rsid w:val="00244A1B"/>
    <w:rsid w:val="002451BB"/>
    <w:rsid w:val="002453DC"/>
    <w:rsid w:val="002455E0"/>
    <w:rsid w:val="002455E8"/>
    <w:rsid w:val="002457E2"/>
    <w:rsid w:val="00245D53"/>
    <w:rsid w:val="00245F2A"/>
    <w:rsid w:val="00246818"/>
    <w:rsid w:val="00246F23"/>
    <w:rsid w:val="002470D4"/>
    <w:rsid w:val="002471A8"/>
    <w:rsid w:val="00247865"/>
    <w:rsid w:val="00247EFA"/>
    <w:rsid w:val="00250228"/>
    <w:rsid w:val="002505AC"/>
    <w:rsid w:val="002509DF"/>
    <w:rsid w:val="00250EA9"/>
    <w:rsid w:val="00250FD6"/>
    <w:rsid w:val="0025123E"/>
    <w:rsid w:val="0025138D"/>
    <w:rsid w:val="0025146C"/>
    <w:rsid w:val="00251A72"/>
    <w:rsid w:val="00251F21"/>
    <w:rsid w:val="00252321"/>
    <w:rsid w:val="00252357"/>
    <w:rsid w:val="00252883"/>
    <w:rsid w:val="002528E3"/>
    <w:rsid w:val="00252AFC"/>
    <w:rsid w:val="00252B1C"/>
    <w:rsid w:val="00253322"/>
    <w:rsid w:val="00253436"/>
    <w:rsid w:val="00253456"/>
    <w:rsid w:val="00253C9B"/>
    <w:rsid w:val="00253CD8"/>
    <w:rsid w:val="0025508B"/>
    <w:rsid w:val="002551BA"/>
    <w:rsid w:val="00255FBE"/>
    <w:rsid w:val="002566E6"/>
    <w:rsid w:val="002569AC"/>
    <w:rsid w:val="002575D9"/>
    <w:rsid w:val="00260DF8"/>
    <w:rsid w:val="0026147D"/>
    <w:rsid w:val="00261640"/>
    <w:rsid w:val="00261B47"/>
    <w:rsid w:val="00261BEE"/>
    <w:rsid w:val="00261DEB"/>
    <w:rsid w:val="002623AC"/>
    <w:rsid w:val="002628E1"/>
    <w:rsid w:val="00262E84"/>
    <w:rsid w:val="002630A4"/>
    <w:rsid w:val="002634CC"/>
    <w:rsid w:val="00263E10"/>
    <w:rsid w:val="00263E7C"/>
    <w:rsid w:val="00264074"/>
    <w:rsid w:val="002645AE"/>
    <w:rsid w:val="00264727"/>
    <w:rsid w:val="002647BF"/>
    <w:rsid w:val="00264A75"/>
    <w:rsid w:val="00264DDD"/>
    <w:rsid w:val="00264E6D"/>
    <w:rsid w:val="00266132"/>
    <w:rsid w:val="0026632E"/>
    <w:rsid w:val="002663D9"/>
    <w:rsid w:val="002665F4"/>
    <w:rsid w:val="00266606"/>
    <w:rsid w:val="002666B9"/>
    <w:rsid w:val="00267193"/>
    <w:rsid w:val="00267786"/>
    <w:rsid w:val="00267974"/>
    <w:rsid w:val="0026799E"/>
    <w:rsid w:val="002700BC"/>
    <w:rsid w:val="002706F9"/>
    <w:rsid w:val="002710C2"/>
    <w:rsid w:val="00271377"/>
    <w:rsid w:val="00271558"/>
    <w:rsid w:val="00271ADE"/>
    <w:rsid w:val="00272ED5"/>
    <w:rsid w:val="00272F45"/>
    <w:rsid w:val="00273108"/>
    <w:rsid w:val="00273363"/>
    <w:rsid w:val="002736D5"/>
    <w:rsid w:val="0027445C"/>
    <w:rsid w:val="0027513B"/>
    <w:rsid w:val="00275731"/>
    <w:rsid w:val="00275794"/>
    <w:rsid w:val="00275E3C"/>
    <w:rsid w:val="002760BC"/>
    <w:rsid w:val="0027627E"/>
    <w:rsid w:val="00276BE8"/>
    <w:rsid w:val="00276CEB"/>
    <w:rsid w:val="0027790A"/>
    <w:rsid w:val="0028022D"/>
    <w:rsid w:val="002808AA"/>
    <w:rsid w:val="002809B2"/>
    <w:rsid w:val="002809E9"/>
    <w:rsid w:val="00280D80"/>
    <w:rsid w:val="002813A3"/>
    <w:rsid w:val="002813C1"/>
    <w:rsid w:val="002819CA"/>
    <w:rsid w:val="00281A49"/>
    <w:rsid w:val="0028215F"/>
    <w:rsid w:val="00282253"/>
    <w:rsid w:val="002824AC"/>
    <w:rsid w:val="0028273D"/>
    <w:rsid w:val="0028289F"/>
    <w:rsid w:val="00282A41"/>
    <w:rsid w:val="0028329E"/>
    <w:rsid w:val="0028395D"/>
    <w:rsid w:val="0028426F"/>
    <w:rsid w:val="00284EDF"/>
    <w:rsid w:val="00284EEB"/>
    <w:rsid w:val="0028502D"/>
    <w:rsid w:val="0028513C"/>
    <w:rsid w:val="002851AE"/>
    <w:rsid w:val="00285D52"/>
    <w:rsid w:val="00286016"/>
    <w:rsid w:val="002860D8"/>
    <w:rsid w:val="002863BF"/>
    <w:rsid w:val="00286939"/>
    <w:rsid w:val="00286B2D"/>
    <w:rsid w:val="00286D97"/>
    <w:rsid w:val="0028717E"/>
    <w:rsid w:val="00287315"/>
    <w:rsid w:val="0028734C"/>
    <w:rsid w:val="002877F0"/>
    <w:rsid w:val="0029071C"/>
    <w:rsid w:val="0029099A"/>
    <w:rsid w:val="0029111B"/>
    <w:rsid w:val="00291993"/>
    <w:rsid w:val="00292383"/>
    <w:rsid w:val="00292BAC"/>
    <w:rsid w:val="00292CFB"/>
    <w:rsid w:val="00292F02"/>
    <w:rsid w:val="00293196"/>
    <w:rsid w:val="002939FA"/>
    <w:rsid w:val="002948C9"/>
    <w:rsid w:val="00294990"/>
    <w:rsid w:val="00294A65"/>
    <w:rsid w:val="00294F15"/>
    <w:rsid w:val="00295600"/>
    <w:rsid w:val="002968B3"/>
    <w:rsid w:val="002968F0"/>
    <w:rsid w:val="00296DF9"/>
    <w:rsid w:val="00296E13"/>
    <w:rsid w:val="00296FB9"/>
    <w:rsid w:val="00297B84"/>
    <w:rsid w:val="00297EA1"/>
    <w:rsid w:val="002A01D5"/>
    <w:rsid w:val="002A052B"/>
    <w:rsid w:val="002A0610"/>
    <w:rsid w:val="002A06CC"/>
    <w:rsid w:val="002A0AB8"/>
    <w:rsid w:val="002A0E66"/>
    <w:rsid w:val="002A1982"/>
    <w:rsid w:val="002A26FE"/>
    <w:rsid w:val="002A3AA8"/>
    <w:rsid w:val="002A4680"/>
    <w:rsid w:val="002A5BBD"/>
    <w:rsid w:val="002A60BD"/>
    <w:rsid w:val="002A6112"/>
    <w:rsid w:val="002A6968"/>
    <w:rsid w:val="002A6C69"/>
    <w:rsid w:val="002B07C9"/>
    <w:rsid w:val="002B0811"/>
    <w:rsid w:val="002B0AEE"/>
    <w:rsid w:val="002B209D"/>
    <w:rsid w:val="002B2273"/>
    <w:rsid w:val="002B2594"/>
    <w:rsid w:val="002B2A4F"/>
    <w:rsid w:val="002B2AFD"/>
    <w:rsid w:val="002B2B84"/>
    <w:rsid w:val="002B2D17"/>
    <w:rsid w:val="002B316B"/>
    <w:rsid w:val="002B4EDF"/>
    <w:rsid w:val="002B4F4E"/>
    <w:rsid w:val="002B5BDD"/>
    <w:rsid w:val="002B5C31"/>
    <w:rsid w:val="002B5F1D"/>
    <w:rsid w:val="002B6246"/>
    <w:rsid w:val="002B6254"/>
    <w:rsid w:val="002B650E"/>
    <w:rsid w:val="002B69F7"/>
    <w:rsid w:val="002B6CF8"/>
    <w:rsid w:val="002B716A"/>
    <w:rsid w:val="002B75BA"/>
    <w:rsid w:val="002B762F"/>
    <w:rsid w:val="002B7857"/>
    <w:rsid w:val="002B7931"/>
    <w:rsid w:val="002B7AC2"/>
    <w:rsid w:val="002C0250"/>
    <w:rsid w:val="002C0AB6"/>
    <w:rsid w:val="002C0E86"/>
    <w:rsid w:val="002C0FC5"/>
    <w:rsid w:val="002C1DC7"/>
    <w:rsid w:val="002C2027"/>
    <w:rsid w:val="002C2A89"/>
    <w:rsid w:val="002C33C1"/>
    <w:rsid w:val="002C3498"/>
    <w:rsid w:val="002C354E"/>
    <w:rsid w:val="002C3671"/>
    <w:rsid w:val="002C3755"/>
    <w:rsid w:val="002C43F6"/>
    <w:rsid w:val="002C4AFB"/>
    <w:rsid w:val="002C53CC"/>
    <w:rsid w:val="002C54CB"/>
    <w:rsid w:val="002C5875"/>
    <w:rsid w:val="002C5A51"/>
    <w:rsid w:val="002C64A2"/>
    <w:rsid w:val="002C66E8"/>
    <w:rsid w:val="002C76BD"/>
    <w:rsid w:val="002C7FB8"/>
    <w:rsid w:val="002D02BD"/>
    <w:rsid w:val="002D03CF"/>
    <w:rsid w:val="002D05A5"/>
    <w:rsid w:val="002D0BE6"/>
    <w:rsid w:val="002D1182"/>
    <w:rsid w:val="002D1469"/>
    <w:rsid w:val="002D1632"/>
    <w:rsid w:val="002D1930"/>
    <w:rsid w:val="002D1DB8"/>
    <w:rsid w:val="002D1E9B"/>
    <w:rsid w:val="002D277A"/>
    <w:rsid w:val="002D32C9"/>
    <w:rsid w:val="002D3612"/>
    <w:rsid w:val="002D4191"/>
    <w:rsid w:val="002D4A52"/>
    <w:rsid w:val="002D4A5A"/>
    <w:rsid w:val="002D4AEA"/>
    <w:rsid w:val="002D5151"/>
    <w:rsid w:val="002D5DEA"/>
    <w:rsid w:val="002D5E21"/>
    <w:rsid w:val="002D655D"/>
    <w:rsid w:val="002D72BD"/>
    <w:rsid w:val="002D7A60"/>
    <w:rsid w:val="002D7AF6"/>
    <w:rsid w:val="002E0416"/>
    <w:rsid w:val="002E0465"/>
    <w:rsid w:val="002E057D"/>
    <w:rsid w:val="002E0A4A"/>
    <w:rsid w:val="002E1015"/>
    <w:rsid w:val="002E109C"/>
    <w:rsid w:val="002E1903"/>
    <w:rsid w:val="002E19AD"/>
    <w:rsid w:val="002E1E22"/>
    <w:rsid w:val="002E2176"/>
    <w:rsid w:val="002E2221"/>
    <w:rsid w:val="002E2298"/>
    <w:rsid w:val="002E2437"/>
    <w:rsid w:val="002E2464"/>
    <w:rsid w:val="002E30D7"/>
    <w:rsid w:val="002E350E"/>
    <w:rsid w:val="002E3916"/>
    <w:rsid w:val="002E3C2D"/>
    <w:rsid w:val="002E3EC2"/>
    <w:rsid w:val="002E3F7A"/>
    <w:rsid w:val="002E4264"/>
    <w:rsid w:val="002E46A5"/>
    <w:rsid w:val="002E47AC"/>
    <w:rsid w:val="002E48EE"/>
    <w:rsid w:val="002E5775"/>
    <w:rsid w:val="002E5F7F"/>
    <w:rsid w:val="002E64F5"/>
    <w:rsid w:val="002E652B"/>
    <w:rsid w:val="002E7051"/>
    <w:rsid w:val="002E7729"/>
    <w:rsid w:val="002E7740"/>
    <w:rsid w:val="002E7C22"/>
    <w:rsid w:val="002F0480"/>
    <w:rsid w:val="002F07A8"/>
    <w:rsid w:val="002F1057"/>
    <w:rsid w:val="002F1822"/>
    <w:rsid w:val="002F1A09"/>
    <w:rsid w:val="002F2FB3"/>
    <w:rsid w:val="002F305C"/>
    <w:rsid w:val="002F347E"/>
    <w:rsid w:val="002F3C77"/>
    <w:rsid w:val="002F3D03"/>
    <w:rsid w:val="002F4C3B"/>
    <w:rsid w:val="002F4F4A"/>
    <w:rsid w:val="002F53F1"/>
    <w:rsid w:val="002F5792"/>
    <w:rsid w:val="002F5E00"/>
    <w:rsid w:val="002F618C"/>
    <w:rsid w:val="002F6611"/>
    <w:rsid w:val="002F681E"/>
    <w:rsid w:val="002F6936"/>
    <w:rsid w:val="002F6BD4"/>
    <w:rsid w:val="002F6D59"/>
    <w:rsid w:val="002F6E28"/>
    <w:rsid w:val="002F7F6F"/>
    <w:rsid w:val="003000C2"/>
    <w:rsid w:val="003001FC"/>
    <w:rsid w:val="003007BE"/>
    <w:rsid w:val="003009C9"/>
    <w:rsid w:val="00300A50"/>
    <w:rsid w:val="00300F2D"/>
    <w:rsid w:val="00301F9F"/>
    <w:rsid w:val="00302462"/>
    <w:rsid w:val="00302603"/>
    <w:rsid w:val="00302799"/>
    <w:rsid w:val="00302EF9"/>
    <w:rsid w:val="00303418"/>
    <w:rsid w:val="00303787"/>
    <w:rsid w:val="00303B1F"/>
    <w:rsid w:val="00304483"/>
    <w:rsid w:val="003044D2"/>
    <w:rsid w:val="00304996"/>
    <w:rsid w:val="00304B36"/>
    <w:rsid w:val="00304DA3"/>
    <w:rsid w:val="00305645"/>
    <w:rsid w:val="00305FA4"/>
    <w:rsid w:val="00306716"/>
    <w:rsid w:val="0030676A"/>
    <w:rsid w:val="00306802"/>
    <w:rsid w:val="00307581"/>
    <w:rsid w:val="0030772A"/>
    <w:rsid w:val="00307D21"/>
    <w:rsid w:val="00310612"/>
    <w:rsid w:val="0031062A"/>
    <w:rsid w:val="003109BC"/>
    <w:rsid w:val="00310F0E"/>
    <w:rsid w:val="00311363"/>
    <w:rsid w:val="0031152E"/>
    <w:rsid w:val="003117E3"/>
    <w:rsid w:val="00311D47"/>
    <w:rsid w:val="00311ED5"/>
    <w:rsid w:val="00312188"/>
    <w:rsid w:val="00312323"/>
    <w:rsid w:val="00312585"/>
    <w:rsid w:val="003126A5"/>
    <w:rsid w:val="00313249"/>
    <w:rsid w:val="00313E10"/>
    <w:rsid w:val="00313EDC"/>
    <w:rsid w:val="00314383"/>
    <w:rsid w:val="003143B8"/>
    <w:rsid w:val="00314634"/>
    <w:rsid w:val="00314806"/>
    <w:rsid w:val="00314AB0"/>
    <w:rsid w:val="0031577B"/>
    <w:rsid w:val="003158EF"/>
    <w:rsid w:val="00316717"/>
    <w:rsid w:val="0031721F"/>
    <w:rsid w:val="00317A17"/>
    <w:rsid w:val="00320553"/>
    <w:rsid w:val="0032077E"/>
    <w:rsid w:val="00320840"/>
    <w:rsid w:val="00320DA0"/>
    <w:rsid w:val="003214C5"/>
    <w:rsid w:val="0032156A"/>
    <w:rsid w:val="0032176C"/>
    <w:rsid w:val="00321B3B"/>
    <w:rsid w:val="0032216F"/>
    <w:rsid w:val="0032255F"/>
    <w:rsid w:val="003227AE"/>
    <w:rsid w:val="00322CC5"/>
    <w:rsid w:val="00323314"/>
    <w:rsid w:val="00323933"/>
    <w:rsid w:val="00323E4D"/>
    <w:rsid w:val="003241D8"/>
    <w:rsid w:val="00324705"/>
    <w:rsid w:val="00324F52"/>
    <w:rsid w:val="00324F54"/>
    <w:rsid w:val="0032588B"/>
    <w:rsid w:val="0032598F"/>
    <w:rsid w:val="00325C52"/>
    <w:rsid w:val="00325EC5"/>
    <w:rsid w:val="003261F5"/>
    <w:rsid w:val="00326351"/>
    <w:rsid w:val="00326E3A"/>
    <w:rsid w:val="00327EE2"/>
    <w:rsid w:val="00327FA6"/>
    <w:rsid w:val="00330C82"/>
    <w:rsid w:val="003311EF"/>
    <w:rsid w:val="0033184E"/>
    <w:rsid w:val="003319E8"/>
    <w:rsid w:val="00331A35"/>
    <w:rsid w:val="00331C19"/>
    <w:rsid w:val="00331C73"/>
    <w:rsid w:val="00332771"/>
    <w:rsid w:val="00332B04"/>
    <w:rsid w:val="00332E4E"/>
    <w:rsid w:val="00333574"/>
    <w:rsid w:val="00333809"/>
    <w:rsid w:val="00333816"/>
    <w:rsid w:val="003338F1"/>
    <w:rsid w:val="00333A07"/>
    <w:rsid w:val="00333F4D"/>
    <w:rsid w:val="003350CA"/>
    <w:rsid w:val="0033522F"/>
    <w:rsid w:val="003359FE"/>
    <w:rsid w:val="00335AE0"/>
    <w:rsid w:val="00335BDB"/>
    <w:rsid w:val="00336604"/>
    <w:rsid w:val="00336927"/>
    <w:rsid w:val="00336EDF"/>
    <w:rsid w:val="00337496"/>
    <w:rsid w:val="003375C1"/>
    <w:rsid w:val="0034043A"/>
    <w:rsid w:val="00340785"/>
    <w:rsid w:val="00340BFE"/>
    <w:rsid w:val="00340E13"/>
    <w:rsid w:val="00341058"/>
    <w:rsid w:val="00341B50"/>
    <w:rsid w:val="003423A4"/>
    <w:rsid w:val="00342CC7"/>
    <w:rsid w:val="0034386E"/>
    <w:rsid w:val="00343934"/>
    <w:rsid w:val="00343A1D"/>
    <w:rsid w:val="00343A8A"/>
    <w:rsid w:val="00343F0F"/>
    <w:rsid w:val="00344278"/>
    <w:rsid w:val="003442AD"/>
    <w:rsid w:val="00344C7C"/>
    <w:rsid w:val="003455A3"/>
    <w:rsid w:val="003465C8"/>
    <w:rsid w:val="003466CC"/>
    <w:rsid w:val="00346705"/>
    <w:rsid w:val="00347243"/>
    <w:rsid w:val="00347377"/>
    <w:rsid w:val="0034753C"/>
    <w:rsid w:val="003500A5"/>
    <w:rsid w:val="00350667"/>
    <w:rsid w:val="0035070F"/>
    <w:rsid w:val="003512CC"/>
    <w:rsid w:val="00351EDC"/>
    <w:rsid w:val="00352045"/>
    <w:rsid w:val="00352071"/>
    <w:rsid w:val="00352C6C"/>
    <w:rsid w:val="00352D70"/>
    <w:rsid w:val="00353B7E"/>
    <w:rsid w:val="00353F26"/>
    <w:rsid w:val="003541D8"/>
    <w:rsid w:val="00354481"/>
    <w:rsid w:val="0035458C"/>
    <w:rsid w:val="00354782"/>
    <w:rsid w:val="003548CB"/>
    <w:rsid w:val="00354923"/>
    <w:rsid w:val="00355113"/>
    <w:rsid w:val="00355234"/>
    <w:rsid w:val="003554AC"/>
    <w:rsid w:val="00355C36"/>
    <w:rsid w:val="00356F7F"/>
    <w:rsid w:val="00357B90"/>
    <w:rsid w:val="00357F5B"/>
    <w:rsid w:val="003602DE"/>
    <w:rsid w:val="003605B6"/>
    <w:rsid w:val="00361010"/>
    <w:rsid w:val="003612E9"/>
    <w:rsid w:val="0036217B"/>
    <w:rsid w:val="00362350"/>
    <w:rsid w:val="00362357"/>
    <w:rsid w:val="00362475"/>
    <w:rsid w:val="003624FC"/>
    <w:rsid w:val="00362CC3"/>
    <w:rsid w:val="003634DA"/>
    <w:rsid w:val="0036359B"/>
    <w:rsid w:val="003635F0"/>
    <w:rsid w:val="00363B4C"/>
    <w:rsid w:val="00364296"/>
    <w:rsid w:val="00364844"/>
    <w:rsid w:val="00364B13"/>
    <w:rsid w:val="00364C17"/>
    <w:rsid w:val="0036526D"/>
    <w:rsid w:val="00365DDD"/>
    <w:rsid w:val="00365DF5"/>
    <w:rsid w:val="00366786"/>
    <w:rsid w:val="00366C94"/>
    <w:rsid w:val="00366E5D"/>
    <w:rsid w:val="00366F3F"/>
    <w:rsid w:val="00367005"/>
    <w:rsid w:val="00367118"/>
    <w:rsid w:val="003673A2"/>
    <w:rsid w:val="00370528"/>
    <w:rsid w:val="00370859"/>
    <w:rsid w:val="0037183F"/>
    <w:rsid w:val="00371944"/>
    <w:rsid w:val="00371AEC"/>
    <w:rsid w:val="0037237D"/>
    <w:rsid w:val="00372693"/>
    <w:rsid w:val="003733A3"/>
    <w:rsid w:val="003743AA"/>
    <w:rsid w:val="00374654"/>
    <w:rsid w:val="00374852"/>
    <w:rsid w:val="00374C59"/>
    <w:rsid w:val="00374E30"/>
    <w:rsid w:val="003754BA"/>
    <w:rsid w:val="00375624"/>
    <w:rsid w:val="0037584B"/>
    <w:rsid w:val="003759A1"/>
    <w:rsid w:val="00375BE9"/>
    <w:rsid w:val="00375D21"/>
    <w:rsid w:val="00375EF5"/>
    <w:rsid w:val="003761C4"/>
    <w:rsid w:val="003766BD"/>
    <w:rsid w:val="0037674D"/>
    <w:rsid w:val="00376852"/>
    <w:rsid w:val="00376E3F"/>
    <w:rsid w:val="00376EE6"/>
    <w:rsid w:val="00377705"/>
    <w:rsid w:val="00377A1F"/>
    <w:rsid w:val="0038019E"/>
    <w:rsid w:val="00380981"/>
    <w:rsid w:val="003813F7"/>
    <w:rsid w:val="00381684"/>
    <w:rsid w:val="003824AD"/>
    <w:rsid w:val="00382989"/>
    <w:rsid w:val="00382B21"/>
    <w:rsid w:val="00382B46"/>
    <w:rsid w:val="00382C9E"/>
    <w:rsid w:val="003830D3"/>
    <w:rsid w:val="003831D5"/>
    <w:rsid w:val="00383208"/>
    <w:rsid w:val="003838A1"/>
    <w:rsid w:val="00383E04"/>
    <w:rsid w:val="003851C7"/>
    <w:rsid w:val="00385368"/>
    <w:rsid w:val="0038658E"/>
    <w:rsid w:val="00386BFA"/>
    <w:rsid w:val="00386DDA"/>
    <w:rsid w:val="00387A2B"/>
    <w:rsid w:val="00390300"/>
    <w:rsid w:val="00390510"/>
    <w:rsid w:val="0039062D"/>
    <w:rsid w:val="00390916"/>
    <w:rsid w:val="00390BB4"/>
    <w:rsid w:val="003911A5"/>
    <w:rsid w:val="003913A1"/>
    <w:rsid w:val="00391750"/>
    <w:rsid w:val="003920EF"/>
    <w:rsid w:val="00392346"/>
    <w:rsid w:val="003929E6"/>
    <w:rsid w:val="00392BBE"/>
    <w:rsid w:val="00393787"/>
    <w:rsid w:val="00393D7D"/>
    <w:rsid w:val="00393F94"/>
    <w:rsid w:val="00394899"/>
    <w:rsid w:val="0039515E"/>
    <w:rsid w:val="0039545B"/>
    <w:rsid w:val="00395462"/>
    <w:rsid w:val="0039579C"/>
    <w:rsid w:val="00395898"/>
    <w:rsid w:val="00395AB7"/>
    <w:rsid w:val="00395C0B"/>
    <w:rsid w:val="0039614C"/>
    <w:rsid w:val="00396168"/>
    <w:rsid w:val="00396614"/>
    <w:rsid w:val="00396E32"/>
    <w:rsid w:val="00396F2A"/>
    <w:rsid w:val="00396FC2"/>
    <w:rsid w:val="00397206"/>
    <w:rsid w:val="00397230"/>
    <w:rsid w:val="00397A1D"/>
    <w:rsid w:val="00397CEC"/>
    <w:rsid w:val="00397F09"/>
    <w:rsid w:val="003A02BE"/>
    <w:rsid w:val="003A0357"/>
    <w:rsid w:val="003A08F6"/>
    <w:rsid w:val="003A140D"/>
    <w:rsid w:val="003A14EF"/>
    <w:rsid w:val="003A17BD"/>
    <w:rsid w:val="003A19AB"/>
    <w:rsid w:val="003A1DF7"/>
    <w:rsid w:val="003A2A84"/>
    <w:rsid w:val="003A2B85"/>
    <w:rsid w:val="003A2C48"/>
    <w:rsid w:val="003A3942"/>
    <w:rsid w:val="003A3AEC"/>
    <w:rsid w:val="003A41E2"/>
    <w:rsid w:val="003A467D"/>
    <w:rsid w:val="003A4763"/>
    <w:rsid w:val="003A57D6"/>
    <w:rsid w:val="003A5918"/>
    <w:rsid w:val="003A63A8"/>
    <w:rsid w:val="003A6C1D"/>
    <w:rsid w:val="003A75FE"/>
    <w:rsid w:val="003A78F3"/>
    <w:rsid w:val="003A7E35"/>
    <w:rsid w:val="003B0400"/>
    <w:rsid w:val="003B157E"/>
    <w:rsid w:val="003B20FE"/>
    <w:rsid w:val="003B2441"/>
    <w:rsid w:val="003B25FA"/>
    <w:rsid w:val="003B270F"/>
    <w:rsid w:val="003B2B5C"/>
    <w:rsid w:val="003B2F87"/>
    <w:rsid w:val="003B3287"/>
    <w:rsid w:val="003B3973"/>
    <w:rsid w:val="003B3BE5"/>
    <w:rsid w:val="003B4217"/>
    <w:rsid w:val="003B4D0B"/>
    <w:rsid w:val="003B53AC"/>
    <w:rsid w:val="003B560F"/>
    <w:rsid w:val="003B5FF2"/>
    <w:rsid w:val="003B6399"/>
    <w:rsid w:val="003B671B"/>
    <w:rsid w:val="003B7002"/>
    <w:rsid w:val="003B729A"/>
    <w:rsid w:val="003B740C"/>
    <w:rsid w:val="003B79DC"/>
    <w:rsid w:val="003C0D6A"/>
    <w:rsid w:val="003C0D7B"/>
    <w:rsid w:val="003C0FB9"/>
    <w:rsid w:val="003C13F7"/>
    <w:rsid w:val="003C168C"/>
    <w:rsid w:val="003C209A"/>
    <w:rsid w:val="003C20E0"/>
    <w:rsid w:val="003C22A4"/>
    <w:rsid w:val="003C2DD3"/>
    <w:rsid w:val="003C303F"/>
    <w:rsid w:val="003C338B"/>
    <w:rsid w:val="003C37F1"/>
    <w:rsid w:val="003C3951"/>
    <w:rsid w:val="003C3E6F"/>
    <w:rsid w:val="003C4117"/>
    <w:rsid w:val="003C4571"/>
    <w:rsid w:val="003C468B"/>
    <w:rsid w:val="003C4D70"/>
    <w:rsid w:val="003C51D3"/>
    <w:rsid w:val="003C5975"/>
    <w:rsid w:val="003C5B61"/>
    <w:rsid w:val="003C62F4"/>
    <w:rsid w:val="003C64FF"/>
    <w:rsid w:val="003C6C1F"/>
    <w:rsid w:val="003C6CB9"/>
    <w:rsid w:val="003C73FF"/>
    <w:rsid w:val="003C773C"/>
    <w:rsid w:val="003C7A27"/>
    <w:rsid w:val="003D050C"/>
    <w:rsid w:val="003D0804"/>
    <w:rsid w:val="003D0F79"/>
    <w:rsid w:val="003D0F82"/>
    <w:rsid w:val="003D0FCA"/>
    <w:rsid w:val="003D1490"/>
    <w:rsid w:val="003D155B"/>
    <w:rsid w:val="003D1930"/>
    <w:rsid w:val="003D1BE4"/>
    <w:rsid w:val="003D1F3C"/>
    <w:rsid w:val="003D234D"/>
    <w:rsid w:val="003D28F5"/>
    <w:rsid w:val="003D2ABD"/>
    <w:rsid w:val="003D2D1B"/>
    <w:rsid w:val="003D325F"/>
    <w:rsid w:val="003D3511"/>
    <w:rsid w:val="003D3E06"/>
    <w:rsid w:val="003D403A"/>
    <w:rsid w:val="003D413C"/>
    <w:rsid w:val="003D4319"/>
    <w:rsid w:val="003D4587"/>
    <w:rsid w:val="003D48A2"/>
    <w:rsid w:val="003D5A8D"/>
    <w:rsid w:val="003D5F76"/>
    <w:rsid w:val="003D65BF"/>
    <w:rsid w:val="003D6732"/>
    <w:rsid w:val="003D6D91"/>
    <w:rsid w:val="003D7250"/>
    <w:rsid w:val="003D76EE"/>
    <w:rsid w:val="003D7B4C"/>
    <w:rsid w:val="003E0381"/>
    <w:rsid w:val="003E0CA9"/>
    <w:rsid w:val="003E0E2C"/>
    <w:rsid w:val="003E164A"/>
    <w:rsid w:val="003E1A9F"/>
    <w:rsid w:val="003E1EE8"/>
    <w:rsid w:val="003E2AD9"/>
    <w:rsid w:val="003E2DB7"/>
    <w:rsid w:val="003E3101"/>
    <w:rsid w:val="003E32DE"/>
    <w:rsid w:val="003E3472"/>
    <w:rsid w:val="003E3E25"/>
    <w:rsid w:val="003E476E"/>
    <w:rsid w:val="003E4789"/>
    <w:rsid w:val="003E49B2"/>
    <w:rsid w:val="003E4C9D"/>
    <w:rsid w:val="003E5859"/>
    <w:rsid w:val="003E65B3"/>
    <w:rsid w:val="003E676B"/>
    <w:rsid w:val="003E68AD"/>
    <w:rsid w:val="003E68AE"/>
    <w:rsid w:val="003E69D1"/>
    <w:rsid w:val="003E6A0B"/>
    <w:rsid w:val="003E788D"/>
    <w:rsid w:val="003E7939"/>
    <w:rsid w:val="003F0A79"/>
    <w:rsid w:val="003F1084"/>
    <w:rsid w:val="003F1414"/>
    <w:rsid w:val="003F1653"/>
    <w:rsid w:val="003F2171"/>
    <w:rsid w:val="003F23E7"/>
    <w:rsid w:val="003F27C8"/>
    <w:rsid w:val="003F28D0"/>
    <w:rsid w:val="003F2ABD"/>
    <w:rsid w:val="003F33E4"/>
    <w:rsid w:val="003F35BF"/>
    <w:rsid w:val="003F400E"/>
    <w:rsid w:val="003F40EE"/>
    <w:rsid w:val="003F4638"/>
    <w:rsid w:val="003F46D5"/>
    <w:rsid w:val="003F5196"/>
    <w:rsid w:val="003F57B2"/>
    <w:rsid w:val="003F5841"/>
    <w:rsid w:val="003F5885"/>
    <w:rsid w:val="003F58C5"/>
    <w:rsid w:val="003F5B5D"/>
    <w:rsid w:val="003F5C24"/>
    <w:rsid w:val="003F66D7"/>
    <w:rsid w:val="003F6C74"/>
    <w:rsid w:val="004007E5"/>
    <w:rsid w:val="0040180C"/>
    <w:rsid w:val="0040274D"/>
    <w:rsid w:val="0040363B"/>
    <w:rsid w:val="0040414E"/>
    <w:rsid w:val="004045E7"/>
    <w:rsid w:val="00404BAB"/>
    <w:rsid w:val="00404F5A"/>
    <w:rsid w:val="00405247"/>
    <w:rsid w:val="004052A0"/>
    <w:rsid w:val="004056FD"/>
    <w:rsid w:val="00405C8E"/>
    <w:rsid w:val="00406104"/>
    <w:rsid w:val="0040617B"/>
    <w:rsid w:val="00406A74"/>
    <w:rsid w:val="0040700A"/>
    <w:rsid w:val="004075D9"/>
    <w:rsid w:val="00407755"/>
    <w:rsid w:val="004077AD"/>
    <w:rsid w:val="00407A1A"/>
    <w:rsid w:val="0041001E"/>
    <w:rsid w:val="0041020F"/>
    <w:rsid w:val="00410667"/>
    <w:rsid w:val="004108BE"/>
    <w:rsid w:val="00410A50"/>
    <w:rsid w:val="00410DF4"/>
    <w:rsid w:val="00410F6A"/>
    <w:rsid w:val="004120BB"/>
    <w:rsid w:val="004124EB"/>
    <w:rsid w:val="0041280E"/>
    <w:rsid w:val="0041288C"/>
    <w:rsid w:val="004133BB"/>
    <w:rsid w:val="00413B57"/>
    <w:rsid w:val="00414C97"/>
    <w:rsid w:val="004154AF"/>
    <w:rsid w:val="004157B9"/>
    <w:rsid w:val="00415CAA"/>
    <w:rsid w:val="00416235"/>
    <w:rsid w:val="004162C4"/>
    <w:rsid w:val="0041677B"/>
    <w:rsid w:val="00416C7D"/>
    <w:rsid w:val="00416DC0"/>
    <w:rsid w:val="00417111"/>
    <w:rsid w:val="00417996"/>
    <w:rsid w:val="00417CFB"/>
    <w:rsid w:val="00417DA6"/>
    <w:rsid w:val="0042015D"/>
    <w:rsid w:val="00420177"/>
    <w:rsid w:val="00420A63"/>
    <w:rsid w:val="004211BD"/>
    <w:rsid w:val="00421AD9"/>
    <w:rsid w:val="0042275D"/>
    <w:rsid w:val="00422853"/>
    <w:rsid w:val="00422A84"/>
    <w:rsid w:val="00422DD8"/>
    <w:rsid w:val="004234D4"/>
    <w:rsid w:val="0042467B"/>
    <w:rsid w:val="00424BD7"/>
    <w:rsid w:val="00424DF0"/>
    <w:rsid w:val="0042558D"/>
    <w:rsid w:val="0042579B"/>
    <w:rsid w:val="00425C8B"/>
    <w:rsid w:val="00425F4B"/>
    <w:rsid w:val="00425F77"/>
    <w:rsid w:val="004273D9"/>
    <w:rsid w:val="00427475"/>
    <w:rsid w:val="004279D0"/>
    <w:rsid w:val="0043002D"/>
    <w:rsid w:val="00430577"/>
    <w:rsid w:val="00430964"/>
    <w:rsid w:val="00430BA3"/>
    <w:rsid w:val="0043129A"/>
    <w:rsid w:val="00431A01"/>
    <w:rsid w:val="00431B05"/>
    <w:rsid w:val="0043246F"/>
    <w:rsid w:val="0043288B"/>
    <w:rsid w:val="00432D8D"/>
    <w:rsid w:val="00432E87"/>
    <w:rsid w:val="00433001"/>
    <w:rsid w:val="00433182"/>
    <w:rsid w:val="00433722"/>
    <w:rsid w:val="00434E60"/>
    <w:rsid w:val="00435292"/>
    <w:rsid w:val="0043576E"/>
    <w:rsid w:val="00435F33"/>
    <w:rsid w:val="00436102"/>
    <w:rsid w:val="00436454"/>
    <w:rsid w:val="00436764"/>
    <w:rsid w:val="0043680B"/>
    <w:rsid w:val="00436F10"/>
    <w:rsid w:val="00436F48"/>
    <w:rsid w:val="004373C4"/>
    <w:rsid w:val="004373CD"/>
    <w:rsid w:val="00437623"/>
    <w:rsid w:val="00437689"/>
    <w:rsid w:val="00437CFD"/>
    <w:rsid w:val="00437FE6"/>
    <w:rsid w:val="0044019B"/>
    <w:rsid w:val="00440298"/>
    <w:rsid w:val="004408B9"/>
    <w:rsid w:val="004419E8"/>
    <w:rsid w:val="00441B77"/>
    <w:rsid w:val="00441BDC"/>
    <w:rsid w:val="00442A6C"/>
    <w:rsid w:val="00442D18"/>
    <w:rsid w:val="00442DAB"/>
    <w:rsid w:val="00443283"/>
    <w:rsid w:val="00443756"/>
    <w:rsid w:val="00443BD2"/>
    <w:rsid w:val="00443E20"/>
    <w:rsid w:val="00444039"/>
    <w:rsid w:val="00444411"/>
    <w:rsid w:val="00444437"/>
    <w:rsid w:val="004444B1"/>
    <w:rsid w:val="004447FF"/>
    <w:rsid w:val="00444BDC"/>
    <w:rsid w:val="00445193"/>
    <w:rsid w:val="004451B4"/>
    <w:rsid w:val="00445208"/>
    <w:rsid w:val="004458B3"/>
    <w:rsid w:val="00446643"/>
    <w:rsid w:val="00446B88"/>
    <w:rsid w:val="00447330"/>
    <w:rsid w:val="00450CCE"/>
    <w:rsid w:val="00450EC8"/>
    <w:rsid w:val="00451681"/>
    <w:rsid w:val="00451AF6"/>
    <w:rsid w:val="004522D4"/>
    <w:rsid w:val="0045361E"/>
    <w:rsid w:val="0045367B"/>
    <w:rsid w:val="004537B4"/>
    <w:rsid w:val="00453A06"/>
    <w:rsid w:val="00454169"/>
    <w:rsid w:val="004544F8"/>
    <w:rsid w:val="00454793"/>
    <w:rsid w:val="0045490A"/>
    <w:rsid w:val="00454B88"/>
    <w:rsid w:val="00454D56"/>
    <w:rsid w:val="00454D9F"/>
    <w:rsid w:val="004550B7"/>
    <w:rsid w:val="004552FA"/>
    <w:rsid w:val="0045598B"/>
    <w:rsid w:val="00455AE9"/>
    <w:rsid w:val="00455B24"/>
    <w:rsid w:val="00455FE9"/>
    <w:rsid w:val="00456466"/>
    <w:rsid w:val="00456A81"/>
    <w:rsid w:val="00456AB1"/>
    <w:rsid w:val="00456C7B"/>
    <w:rsid w:val="00456E42"/>
    <w:rsid w:val="00457245"/>
    <w:rsid w:val="004577CB"/>
    <w:rsid w:val="00457B47"/>
    <w:rsid w:val="00457E5B"/>
    <w:rsid w:val="00457F7F"/>
    <w:rsid w:val="00460C05"/>
    <w:rsid w:val="00461431"/>
    <w:rsid w:val="00462865"/>
    <w:rsid w:val="0046297C"/>
    <w:rsid w:val="00462D58"/>
    <w:rsid w:val="00463382"/>
    <w:rsid w:val="00463E5D"/>
    <w:rsid w:val="00463F27"/>
    <w:rsid w:val="00464708"/>
    <w:rsid w:val="00464A19"/>
    <w:rsid w:val="00464AC9"/>
    <w:rsid w:val="00465656"/>
    <w:rsid w:val="00465802"/>
    <w:rsid w:val="00465C72"/>
    <w:rsid w:val="00465EC0"/>
    <w:rsid w:val="00465F3B"/>
    <w:rsid w:val="004666A5"/>
    <w:rsid w:val="00466884"/>
    <w:rsid w:val="00466F68"/>
    <w:rsid w:val="004671E6"/>
    <w:rsid w:val="00467B0A"/>
    <w:rsid w:val="004700A8"/>
    <w:rsid w:val="0047070E"/>
    <w:rsid w:val="00470A42"/>
    <w:rsid w:val="0047103C"/>
    <w:rsid w:val="00471E12"/>
    <w:rsid w:val="00472328"/>
    <w:rsid w:val="00472A7D"/>
    <w:rsid w:val="00472DED"/>
    <w:rsid w:val="00472FBF"/>
    <w:rsid w:val="00473867"/>
    <w:rsid w:val="004738CA"/>
    <w:rsid w:val="00473A39"/>
    <w:rsid w:val="00473B57"/>
    <w:rsid w:val="0047416D"/>
    <w:rsid w:val="004741F9"/>
    <w:rsid w:val="004744CE"/>
    <w:rsid w:val="004746BD"/>
    <w:rsid w:val="0047471E"/>
    <w:rsid w:val="00474A5E"/>
    <w:rsid w:val="00474CD6"/>
    <w:rsid w:val="00474EF6"/>
    <w:rsid w:val="004752CA"/>
    <w:rsid w:val="00475421"/>
    <w:rsid w:val="00475BC0"/>
    <w:rsid w:val="0047603C"/>
    <w:rsid w:val="00476B36"/>
    <w:rsid w:val="004777C0"/>
    <w:rsid w:val="0047789B"/>
    <w:rsid w:val="00477C22"/>
    <w:rsid w:val="00480624"/>
    <w:rsid w:val="00480A7B"/>
    <w:rsid w:val="00480B0B"/>
    <w:rsid w:val="004816B5"/>
    <w:rsid w:val="00481761"/>
    <w:rsid w:val="00481A30"/>
    <w:rsid w:val="00482768"/>
    <w:rsid w:val="00482A2A"/>
    <w:rsid w:val="00482B82"/>
    <w:rsid w:val="00482E8E"/>
    <w:rsid w:val="00482F3B"/>
    <w:rsid w:val="00482FEC"/>
    <w:rsid w:val="0048315E"/>
    <w:rsid w:val="00483449"/>
    <w:rsid w:val="004834DF"/>
    <w:rsid w:val="00483679"/>
    <w:rsid w:val="0048425C"/>
    <w:rsid w:val="0048450A"/>
    <w:rsid w:val="0048461D"/>
    <w:rsid w:val="00484A7A"/>
    <w:rsid w:val="00484C1E"/>
    <w:rsid w:val="00484F19"/>
    <w:rsid w:val="004859C2"/>
    <w:rsid w:val="004869FF"/>
    <w:rsid w:val="00486AC6"/>
    <w:rsid w:val="00486D2A"/>
    <w:rsid w:val="00486DB4"/>
    <w:rsid w:val="004872F3"/>
    <w:rsid w:val="00490038"/>
    <w:rsid w:val="004903E1"/>
    <w:rsid w:val="004909CD"/>
    <w:rsid w:val="004911A4"/>
    <w:rsid w:val="0049144D"/>
    <w:rsid w:val="00491839"/>
    <w:rsid w:val="00491A8F"/>
    <w:rsid w:val="00491CEB"/>
    <w:rsid w:val="004923A5"/>
    <w:rsid w:val="004923FA"/>
    <w:rsid w:val="004924D2"/>
    <w:rsid w:val="00492C6B"/>
    <w:rsid w:val="00492E53"/>
    <w:rsid w:val="00493678"/>
    <w:rsid w:val="0049396B"/>
    <w:rsid w:val="00493988"/>
    <w:rsid w:val="0049443E"/>
    <w:rsid w:val="00494972"/>
    <w:rsid w:val="00494D2D"/>
    <w:rsid w:val="004954EE"/>
    <w:rsid w:val="004954FB"/>
    <w:rsid w:val="004958AE"/>
    <w:rsid w:val="004960E0"/>
    <w:rsid w:val="0049715B"/>
    <w:rsid w:val="00497593"/>
    <w:rsid w:val="0049775B"/>
    <w:rsid w:val="00497EBD"/>
    <w:rsid w:val="004A0A73"/>
    <w:rsid w:val="004A14FB"/>
    <w:rsid w:val="004A1831"/>
    <w:rsid w:val="004A186E"/>
    <w:rsid w:val="004A1C73"/>
    <w:rsid w:val="004A1D48"/>
    <w:rsid w:val="004A1F32"/>
    <w:rsid w:val="004A23D7"/>
    <w:rsid w:val="004A3399"/>
    <w:rsid w:val="004A34FB"/>
    <w:rsid w:val="004A3B53"/>
    <w:rsid w:val="004A3E1B"/>
    <w:rsid w:val="004A4153"/>
    <w:rsid w:val="004A41FC"/>
    <w:rsid w:val="004A4B00"/>
    <w:rsid w:val="004A4C5A"/>
    <w:rsid w:val="004A540A"/>
    <w:rsid w:val="004A5583"/>
    <w:rsid w:val="004A5B1A"/>
    <w:rsid w:val="004A5C99"/>
    <w:rsid w:val="004A63A0"/>
    <w:rsid w:val="004A667B"/>
    <w:rsid w:val="004A66D9"/>
    <w:rsid w:val="004A79E5"/>
    <w:rsid w:val="004A7D27"/>
    <w:rsid w:val="004B07A9"/>
    <w:rsid w:val="004B101B"/>
    <w:rsid w:val="004B1304"/>
    <w:rsid w:val="004B17C8"/>
    <w:rsid w:val="004B1A95"/>
    <w:rsid w:val="004B1B2C"/>
    <w:rsid w:val="004B1C53"/>
    <w:rsid w:val="004B2730"/>
    <w:rsid w:val="004B2ACC"/>
    <w:rsid w:val="004B3B07"/>
    <w:rsid w:val="004B3F83"/>
    <w:rsid w:val="004B3F8C"/>
    <w:rsid w:val="004B4077"/>
    <w:rsid w:val="004B42FE"/>
    <w:rsid w:val="004B4D6F"/>
    <w:rsid w:val="004B4F1A"/>
    <w:rsid w:val="004B5293"/>
    <w:rsid w:val="004B539E"/>
    <w:rsid w:val="004B5A1E"/>
    <w:rsid w:val="004B5D04"/>
    <w:rsid w:val="004B6184"/>
    <w:rsid w:val="004B69BB"/>
    <w:rsid w:val="004B6DA0"/>
    <w:rsid w:val="004B6FF7"/>
    <w:rsid w:val="004B7261"/>
    <w:rsid w:val="004B776F"/>
    <w:rsid w:val="004B78AE"/>
    <w:rsid w:val="004B7A96"/>
    <w:rsid w:val="004B7CDB"/>
    <w:rsid w:val="004C035D"/>
    <w:rsid w:val="004C0D00"/>
    <w:rsid w:val="004C0D1F"/>
    <w:rsid w:val="004C0EC0"/>
    <w:rsid w:val="004C129D"/>
    <w:rsid w:val="004C12C1"/>
    <w:rsid w:val="004C1410"/>
    <w:rsid w:val="004C1ECC"/>
    <w:rsid w:val="004C202D"/>
    <w:rsid w:val="004C2203"/>
    <w:rsid w:val="004C240D"/>
    <w:rsid w:val="004C2993"/>
    <w:rsid w:val="004C331A"/>
    <w:rsid w:val="004C3986"/>
    <w:rsid w:val="004C3ABF"/>
    <w:rsid w:val="004C41F4"/>
    <w:rsid w:val="004C4809"/>
    <w:rsid w:val="004C4896"/>
    <w:rsid w:val="004C4B45"/>
    <w:rsid w:val="004C4E0B"/>
    <w:rsid w:val="004C5185"/>
    <w:rsid w:val="004C550A"/>
    <w:rsid w:val="004C57B2"/>
    <w:rsid w:val="004C5C36"/>
    <w:rsid w:val="004C605A"/>
    <w:rsid w:val="004C6F92"/>
    <w:rsid w:val="004C73A6"/>
    <w:rsid w:val="004C7688"/>
    <w:rsid w:val="004D022B"/>
    <w:rsid w:val="004D037F"/>
    <w:rsid w:val="004D09F5"/>
    <w:rsid w:val="004D0B8E"/>
    <w:rsid w:val="004D0C94"/>
    <w:rsid w:val="004D0CA0"/>
    <w:rsid w:val="004D0EA5"/>
    <w:rsid w:val="004D1B98"/>
    <w:rsid w:val="004D1CBA"/>
    <w:rsid w:val="004D24B0"/>
    <w:rsid w:val="004D281A"/>
    <w:rsid w:val="004D369F"/>
    <w:rsid w:val="004D3946"/>
    <w:rsid w:val="004D3EA8"/>
    <w:rsid w:val="004D412A"/>
    <w:rsid w:val="004D429B"/>
    <w:rsid w:val="004D535D"/>
    <w:rsid w:val="004D54C8"/>
    <w:rsid w:val="004D553D"/>
    <w:rsid w:val="004D55E5"/>
    <w:rsid w:val="004D57B2"/>
    <w:rsid w:val="004D6421"/>
    <w:rsid w:val="004D6F3B"/>
    <w:rsid w:val="004D733C"/>
    <w:rsid w:val="004D75E1"/>
    <w:rsid w:val="004D7EA7"/>
    <w:rsid w:val="004D7FB7"/>
    <w:rsid w:val="004E013E"/>
    <w:rsid w:val="004E0943"/>
    <w:rsid w:val="004E0B10"/>
    <w:rsid w:val="004E0B1B"/>
    <w:rsid w:val="004E18F4"/>
    <w:rsid w:val="004E19CA"/>
    <w:rsid w:val="004E1ACE"/>
    <w:rsid w:val="004E1B43"/>
    <w:rsid w:val="004E1C38"/>
    <w:rsid w:val="004E2488"/>
    <w:rsid w:val="004E26E5"/>
    <w:rsid w:val="004E2C61"/>
    <w:rsid w:val="004E2EF7"/>
    <w:rsid w:val="004E33E6"/>
    <w:rsid w:val="004E3572"/>
    <w:rsid w:val="004E3871"/>
    <w:rsid w:val="004E3AAF"/>
    <w:rsid w:val="004E42E5"/>
    <w:rsid w:val="004E4830"/>
    <w:rsid w:val="004E49B9"/>
    <w:rsid w:val="004E4DFA"/>
    <w:rsid w:val="004E51FF"/>
    <w:rsid w:val="004E56C2"/>
    <w:rsid w:val="004E5827"/>
    <w:rsid w:val="004E5AE1"/>
    <w:rsid w:val="004E5B3F"/>
    <w:rsid w:val="004E5CEF"/>
    <w:rsid w:val="004E6231"/>
    <w:rsid w:val="004E6284"/>
    <w:rsid w:val="004E633C"/>
    <w:rsid w:val="004E6483"/>
    <w:rsid w:val="004E669E"/>
    <w:rsid w:val="004E66CE"/>
    <w:rsid w:val="004E6ACB"/>
    <w:rsid w:val="004E6D42"/>
    <w:rsid w:val="004E718D"/>
    <w:rsid w:val="004E7411"/>
    <w:rsid w:val="004E7D6E"/>
    <w:rsid w:val="004E7D94"/>
    <w:rsid w:val="004E7ED3"/>
    <w:rsid w:val="004F0AD8"/>
    <w:rsid w:val="004F0C51"/>
    <w:rsid w:val="004F0D26"/>
    <w:rsid w:val="004F1203"/>
    <w:rsid w:val="004F2609"/>
    <w:rsid w:val="004F26F6"/>
    <w:rsid w:val="004F2A06"/>
    <w:rsid w:val="004F2A43"/>
    <w:rsid w:val="004F2ABE"/>
    <w:rsid w:val="004F30C4"/>
    <w:rsid w:val="004F3CB5"/>
    <w:rsid w:val="004F4622"/>
    <w:rsid w:val="004F473E"/>
    <w:rsid w:val="004F48B4"/>
    <w:rsid w:val="004F4F58"/>
    <w:rsid w:val="004F5C53"/>
    <w:rsid w:val="004F5FE0"/>
    <w:rsid w:val="004F6CEF"/>
    <w:rsid w:val="004F701C"/>
    <w:rsid w:val="004F7071"/>
    <w:rsid w:val="004F757F"/>
    <w:rsid w:val="004F75B7"/>
    <w:rsid w:val="004F7650"/>
    <w:rsid w:val="004F7BE1"/>
    <w:rsid w:val="004F7DBA"/>
    <w:rsid w:val="004F7FAD"/>
    <w:rsid w:val="005000F5"/>
    <w:rsid w:val="0050050B"/>
    <w:rsid w:val="005006DF"/>
    <w:rsid w:val="00500A5D"/>
    <w:rsid w:val="0050196D"/>
    <w:rsid w:val="00501A4F"/>
    <w:rsid w:val="00501FC0"/>
    <w:rsid w:val="0050227F"/>
    <w:rsid w:val="0050240B"/>
    <w:rsid w:val="00502957"/>
    <w:rsid w:val="00502AB3"/>
    <w:rsid w:val="00502B4E"/>
    <w:rsid w:val="00502E91"/>
    <w:rsid w:val="0050318F"/>
    <w:rsid w:val="005035EB"/>
    <w:rsid w:val="00503ACD"/>
    <w:rsid w:val="00503BE3"/>
    <w:rsid w:val="00503E67"/>
    <w:rsid w:val="00504015"/>
    <w:rsid w:val="005046A1"/>
    <w:rsid w:val="00504C85"/>
    <w:rsid w:val="00504F72"/>
    <w:rsid w:val="00504F82"/>
    <w:rsid w:val="005053A8"/>
    <w:rsid w:val="0050561B"/>
    <w:rsid w:val="00505912"/>
    <w:rsid w:val="00505C71"/>
    <w:rsid w:val="00505E26"/>
    <w:rsid w:val="00506324"/>
    <w:rsid w:val="0050632F"/>
    <w:rsid w:val="005070CB"/>
    <w:rsid w:val="00507168"/>
    <w:rsid w:val="0050785E"/>
    <w:rsid w:val="00510CAF"/>
    <w:rsid w:val="0051153F"/>
    <w:rsid w:val="00511624"/>
    <w:rsid w:val="00511740"/>
    <w:rsid w:val="0051181E"/>
    <w:rsid w:val="00511E22"/>
    <w:rsid w:val="00511FA4"/>
    <w:rsid w:val="00511FE6"/>
    <w:rsid w:val="00512290"/>
    <w:rsid w:val="00512366"/>
    <w:rsid w:val="0051245F"/>
    <w:rsid w:val="00513005"/>
    <w:rsid w:val="0051334E"/>
    <w:rsid w:val="00513762"/>
    <w:rsid w:val="0051376E"/>
    <w:rsid w:val="005137D8"/>
    <w:rsid w:val="00513B3B"/>
    <w:rsid w:val="00513B56"/>
    <w:rsid w:val="0051438C"/>
    <w:rsid w:val="00514617"/>
    <w:rsid w:val="00514BDF"/>
    <w:rsid w:val="005153F9"/>
    <w:rsid w:val="005155A6"/>
    <w:rsid w:val="00515B94"/>
    <w:rsid w:val="00515DEC"/>
    <w:rsid w:val="00516184"/>
    <w:rsid w:val="00516882"/>
    <w:rsid w:val="00516FA1"/>
    <w:rsid w:val="005176B4"/>
    <w:rsid w:val="00517DE1"/>
    <w:rsid w:val="00520458"/>
    <w:rsid w:val="0052047D"/>
    <w:rsid w:val="00520568"/>
    <w:rsid w:val="005206C5"/>
    <w:rsid w:val="005208E0"/>
    <w:rsid w:val="0052273F"/>
    <w:rsid w:val="00522CC6"/>
    <w:rsid w:val="00522E54"/>
    <w:rsid w:val="00523162"/>
    <w:rsid w:val="00523713"/>
    <w:rsid w:val="00523B44"/>
    <w:rsid w:val="00523F70"/>
    <w:rsid w:val="0052459C"/>
    <w:rsid w:val="005245E1"/>
    <w:rsid w:val="005248C9"/>
    <w:rsid w:val="00524FAA"/>
    <w:rsid w:val="005254D5"/>
    <w:rsid w:val="00525AB2"/>
    <w:rsid w:val="00525FA0"/>
    <w:rsid w:val="005266CF"/>
    <w:rsid w:val="00526AAC"/>
    <w:rsid w:val="005272F0"/>
    <w:rsid w:val="00527478"/>
    <w:rsid w:val="0052781A"/>
    <w:rsid w:val="0053006D"/>
    <w:rsid w:val="005303B2"/>
    <w:rsid w:val="00531524"/>
    <w:rsid w:val="00531A45"/>
    <w:rsid w:val="005328E6"/>
    <w:rsid w:val="005329C2"/>
    <w:rsid w:val="005337D4"/>
    <w:rsid w:val="00533B67"/>
    <w:rsid w:val="00534248"/>
    <w:rsid w:val="00534328"/>
    <w:rsid w:val="00535276"/>
    <w:rsid w:val="005360E7"/>
    <w:rsid w:val="005368EC"/>
    <w:rsid w:val="00536E19"/>
    <w:rsid w:val="00537178"/>
    <w:rsid w:val="00537655"/>
    <w:rsid w:val="0053777A"/>
    <w:rsid w:val="00540632"/>
    <w:rsid w:val="00540B30"/>
    <w:rsid w:val="00541296"/>
    <w:rsid w:val="005414DF"/>
    <w:rsid w:val="00541A03"/>
    <w:rsid w:val="00541C38"/>
    <w:rsid w:val="00542127"/>
    <w:rsid w:val="005421CE"/>
    <w:rsid w:val="005431FF"/>
    <w:rsid w:val="00543E0F"/>
    <w:rsid w:val="0054409D"/>
    <w:rsid w:val="0054499E"/>
    <w:rsid w:val="00544E4C"/>
    <w:rsid w:val="005454E8"/>
    <w:rsid w:val="00545DC5"/>
    <w:rsid w:val="00545E12"/>
    <w:rsid w:val="00545F8F"/>
    <w:rsid w:val="005460B1"/>
    <w:rsid w:val="005467FD"/>
    <w:rsid w:val="00546DFB"/>
    <w:rsid w:val="00546E00"/>
    <w:rsid w:val="00547161"/>
    <w:rsid w:val="00547347"/>
    <w:rsid w:val="00547887"/>
    <w:rsid w:val="00547A73"/>
    <w:rsid w:val="00547F58"/>
    <w:rsid w:val="0055021C"/>
    <w:rsid w:val="005502DC"/>
    <w:rsid w:val="005509DA"/>
    <w:rsid w:val="00551A09"/>
    <w:rsid w:val="00551F85"/>
    <w:rsid w:val="0055206D"/>
    <w:rsid w:val="00552534"/>
    <w:rsid w:val="00552D0B"/>
    <w:rsid w:val="00552D2C"/>
    <w:rsid w:val="00553387"/>
    <w:rsid w:val="005533C7"/>
    <w:rsid w:val="00553B31"/>
    <w:rsid w:val="00553CAE"/>
    <w:rsid w:val="00553FEF"/>
    <w:rsid w:val="0055511E"/>
    <w:rsid w:val="005551B7"/>
    <w:rsid w:val="00555454"/>
    <w:rsid w:val="005557C8"/>
    <w:rsid w:val="005557D7"/>
    <w:rsid w:val="0055592D"/>
    <w:rsid w:val="00555C66"/>
    <w:rsid w:val="005562DF"/>
    <w:rsid w:val="00556EDD"/>
    <w:rsid w:val="00557348"/>
    <w:rsid w:val="00557763"/>
    <w:rsid w:val="0056004E"/>
    <w:rsid w:val="005602F4"/>
    <w:rsid w:val="0056123F"/>
    <w:rsid w:val="00561422"/>
    <w:rsid w:val="00561C18"/>
    <w:rsid w:val="00563514"/>
    <w:rsid w:val="005637A4"/>
    <w:rsid w:val="005639BA"/>
    <w:rsid w:val="005641B2"/>
    <w:rsid w:val="00564BC2"/>
    <w:rsid w:val="00564D46"/>
    <w:rsid w:val="00565C03"/>
    <w:rsid w:val="00566190"/>
    <w:rsid w:val="005666A1"/>
    <w:rsid w:val="005667B7"/>
    <w:rsid w:val="00566CF2"/>
    <w:rsid w:val="005674E0"/>
    <w:rsid w:val="00567671"/>
    <w:rsid w:val="00570530"/>
    <w:rsid w:val="00571A6A"/>
    <w:rsid w:val="00572663"/>
    <w:rsid w:val="00572699"/>
    <w:rsid w:val="00572787"/>
    <w:rsid w:val="00572EEC"/>
    <w:rsid w:val="005747F1"/>
    <w:rsid w:val="00574A53"/>
    <w:rsid w:val="00574C98"/>
    <w:rsid w:val="00574D89"/>
    <w:rsid w:val="00575577"/>
    <w:rsid w:val="005757F9"/>
    <w:rsid w:val="00575935"/>
    <w:rsid w:val="00576171"/>
    <w:rsid w:val="0057629F"/>
    <w:rsid w:val="005765EA"/>
    <w:rsid w:val="00577004"/>
    <w:rsid w:val="00577082"/>
    <w:rsid w:val="005771B8"/>
    <w:rsid w:val="005776A9"/>
    <w:rsid w:val="00577C0E"/>
    <w:rsid w:val="00577EA1"/>
    <w:rsid w:val="005800AF"/>
    <w:rsid w:val="00580B93"/>
    <w:rsid w:val="00580E7C"/>
    <w:rsid w:val="00582213"/>
    <w:rsid w:val="00582426"/>
    <w:rsid w:val="005826C0"/>
    <w:rsid w:val="005831F3"/>
    <w:rsid w:val="005832D4"/>
    <w:rsid w:val="0058370A"/>
    <w:rsid w:val="0058439D"/>
    <w:rsid w:val="005856D7"/>
    <w:rsid w:val="00585A38"/>
    <w:rsid w:val="00586072"/>
    <w:rsid w:val="00586161"/>
    <w:rsid w:val="00587834"/>
    <w:rsid w:val="005879B6"/>
    <w:rsid w:val="00590EE0"/>
    <w:rsid w:val="005920FD"/>
    <w:rsid w:val="00592342"/>
    <w:rsid w:val="005925C4"/>
    <w:rsid w:val="00592DB0"/>
    <w:rsid w:val="00592F6D"/>
    <w:rsid w:val="005932F9"/>
    <w:rsid w:val="0059379B"/>
    <w:rsid w:val="00593B8B"/>
    <w:rsid w:val="00594050"/>
    <w:rsid w:val="00594129"/>
    <w:rsid w:val="0059455A"/>
    <w:rsid w:val="00594AB3"/>
    <w:rsid w:val="00594B2E"/>
    <w:rsid w:val="00594F86"/>
    <w:rsid w:val="00595267"/>
    <w:rsid w:val="005953AC"/>
    <w:rsid w:val="00595545"/>
    <w:rsid w:val="005956CF"/>
    <w:rsid w:val="005979A4"/>
    <w:rsid w:val="005A0607"/>
    <w:rsid w:val="005A194C"/>
    <w:rsid w:val="005A1AF6"/>
    <w:rsid w:val="005A1B38"/>
    <w:rsid w:val="005A1E0F"/>
    <w:rsid w:val="005A2B12"/>
    <w:rsid w:val="005A31EF"/>
    <w:rsid w:val="005A36CA"/>
    <w:rsid w:val="005A3B5B"/>
    <w:rsid w:val="005A3E17"/>
    <w:rsid w:val="005A3F4C"/>
    <w:rsid w:val="005A3F7D"/>
    <w:rsid w:val="005A4ED9"/>
    <w:rsid w:val="005A5017"/>
    <w:rsid w:val="005A50DD"/>
    <w:rsid w:val="005A523F"/>
    <w:rsid w:val="005A5DF7"/>
    <w:rsid w:val="005A5F09"/>
    <w:rsid w:val="005A679A"/>
    <w:rsid w:val="005A7509"/>
    <w:rsid w:val="005A78C7"/>
    <w:rsid w:val="005A7CC0"/>
    <w:rsid w:val="005B01EE"/>
    <w:rsid w:val="005B0422"/>
    <w:rsid w:val="005B07C9"/>
    <w:rsid w:val="005B1027"/>
    <w:rsid w:val="005B17E1"/>
    <w:rsid w:val="005B19B5"/>
    <w:rsid w:val="005B1A84"/>
    <w:rsid w:val="005B1D23"/>
    <w:rsid w:val="005B2264"/>
    <w:rsid w:val="005B2558"/>
    <w:rsid w:val="005B29E0"/>
    <w:rsid w:val="005B2AEF"/>
    <w:rsid w:val="005B2C2B"/>
    <w:rsid w:val="005B2CCD"/>
    <w:rsid w:val="005B2EE5"/>
    <w:rsid w:val="005B2EFC"/>
    <w:rsid w:val="005B33F2"/>
    <w:rsid w:val="005B358D"/>
    <w:rsid w:val="005B35BB"/>
    <w:rsid w:val="005B3C10"/>
    <w:rsid w:val="005B48D3"/>
    <w:rsid w:val="005B4C80"/>
    <w:rsid w:val="005B51C3"/>
    <w:rsid w:val="005B5A6B"/>
    <w:rsid w:val="005B6BE8"/>
    <w:rsid w:val="005B6FD5"/>
    <w:rsid w:val="005B79AA"/>
    <w:rsid w:val="005B7E15"/>
    <w:rsid w:val="005C007F"/>
    <w:rsid w:val="005C0A71"/>
    <w:rsid w:val="005C0BA1"/>
    <w:rsid w:val="005C0CB7"/>
    <w:rsid w:val="005C1962"/>
    <w:rsid w:val="005C1E10"/>
    <w:rsid w:val="005C22CE"/>
    <w:rsid w:val="005C2336"/>
    <w:rsid w:val="005C2753"/>
    <w:rsid w:val="005C2BD0"/>
    <w:rsid w:val="005C36CC"/>
    <w:rsid w:val="005C49D5"/>
    <w:rsid w:val="005C4F74"/>
    <w:rsid w:val="005C5383"/>
    <w:rsid w:val="005C55A3"/>
    <w:rsid w:val="005C5656"/>
    <w:rsid w:val="005C68C0"/>
    <w:rsid w:val="005C6BE3"/>
    <w:rsid w:val="005C6D8D"/>
    <w:rsid w:val="005C740C"/>
    <w:rsid w:val="005C7559"/>
    <w:rsid w:val="005D0626"/>
    <w:rsid w:val="005D0658"/>
    <w:rsid w:val="005D08C3"/>
    <w:rsid w:val="005D0AD7"/>
    <w:rsid w:val="005D0EFD"/>
    <w:rsid w:val="005D1254"/>
    <w:rsid w:val="005D1692"/>
    <w:rsid w:val="005D2598"/>
    <w:rsid w:val="005D35BA"/>
    <w:rsid w:val="005D3B41"/>
    <w:rsid w:val="005D3B6B"/>
    <w:rsid w:val="005D3D0B"/>
    <w:rsid w:val="005D4340"/>
    <w:rsid w:val="005D573D"/>
    <w:rsid w:val="005D5A62"/>
    <w:rsid w:val="005D5C6B"/>
    <w:rsid w:val="005D5DFA"/>
    <w:rsid w:val="005D5E42"/>
    <w:rsid w:val="005D5E5C"/>
    <w:rsid w:val="005D6665"/>
    <w:rsid w:val="005D66ED"/>
    <w:rsid w:val="005D67A6"/>
    <w:rsid w:val="005D69B1"/>
    <w:rsid w:val="005D6D13"/>
    <w:rsid w:val="005D748F"/>
    <w:rsid w:val="005E013F"/>
    <w:rsid w:val="005E1723"/>
    <w:rsid w:val="005E1D00"/>
    <w:rsid w:val="005E1FFB"/>
    <w:rsid w:val="005E2286"/>
    <w:rsid w:val="005E2A4D"/>
    <w:rsid w:val="005E2D40"/>
    <w:rsid w:val="005E353D"/>
    <w:rsid w:val="005E3A61"/>
    <w:rsid w:val="005E3ABB"/>
    <w:rsid w:val="005E3C74"/>
    <w:rsid w:val="005E402C"/>
    <w:rsid w:val="005E4085"/>
    <w:rsid w:val="005E43A8"/>
    <w:rsid w:val="005E470E"/>
    <w:rsid w:val="005E47A3"/>
    <w:rsid w:val="005E491F"/>
    <w:rsid w:val="005E4925"/>
    <w:rsid w:val="005E4D09"/>
    <w:rsid w:val="005E4E8E"/>
    <w:rsid w:val="005E52B8"/>
    <w:rsid w:val="005E5F7C"/>
    <w:rsid w:val="005E6093"/>
    <w:rsid w:val="005E62D3"/>
    <w:rsid w:val="005E68BC"/>
    <w:rsid w:val="005E6CE2"/>
    <w:rsid w:val="005E6FDB"/>
    <w:rsid w:val="005E7042"/>
    <w:rsid w:val="005E7073"/>
    <w:rsid w:val="005E7213"/>
    <w:rsid w:val="005E77D3"/>
    <w:rsid w:val="005F15D8"/>
    <w:rsid w:val="005F2296"/>
    <w:rsid w:val="005F23A5"/>
    <w:rsid w:val="005F284E"/>
    <w:rsid w:val="005F2D60"/>
    <w:rsid w:val="005F38AD"/>
    <w:rsid w:val="005F4498"/>
    <w:rsid w:val="005F4AED"/>
    <w:rsid w:val="005F4BAB"/>
    <w:rsid w:val="005F4DBF"/>
    <w:rsid w:val="005F4E55"/>
    <w:rsid w:val="005F5809"/>
    <w:rsid w:val="005F5E9E"/>
    <w:rsid w:val="005F6106"/>
    <w:rsid w:val="005F61DF"/>
    <w:rsid w:val="005F73F9"/>
    <w:rsid w:val="005F7510"/>
    <w:rsid w:val="005F79A0"/>
    <w:rsid w:val="005F7A3E"/>
    <w:rsid w:val="006001E7"/>
    <w:rsid w:val="0060091E"/>
    <w:rsid w:val="006019E9"/>
    <w:rsid w:val="00601C07"/>
    <w:rsid w:val="00601F9D"/>
    <w:rsid w:val="006023FC"/>
    <w:rsid w:val="00602456"/>
    <w:rsid w:val="00602DF4"/>
    <w:rsid w:val="0060308C"/>
    <w:rsid w:val="006032A7"/>
    <w:rsid w:val="006033F1"/>
    <w:rsid w:val="0060366C"/>
    <w:rsid w:val="00603AA0"/>
    <w:rsid w:val="00603DAE"/>
    <w:rsid w:val="0060419B"/>
    <w:rsid w:val="00604245"/>
    <w:rsid w:val="006045FE"/>
    <w:rsid w:val="006046E5"/>
    <w:rsid w:val="00604AC9"/>
    <w:rsid w:val="00605061"/>
    <w:rsid w:val="006056A2"/>
    <w:rsid w:val="00605C46"/>
    <w:rsid w:val="00605CD7"/>
    <w:rsid w:val="00605D17"/>
    <w:rsid w:val="0060606D"/>
    <w:rsid w:val="00606425"/>
    <w:rsid w:val="00606599"/>
    <w:rsid w:val="006065CA"/>
    <w:rsid w:val="00606634"/>
    <w:rsid w:val="0060690E"/>
    <w:rsid w:val="00606999"/>
    <w:rsid w:val="00606B27"/>
    <w:rsid w:val="00606D09"/>
    <w:rsid w:val="0060786D"/>
    <w:rsid w:val="00610113"/>
    <w:rsid w:val="006102CA"/>
    <w:rsid w:val="006104E2"/>
    <w:rsid w:val="0061072A"/>
    <w:rsid w:val="0061107C"/>
    <w:rsid w:val="00611189"/>
    <w:rsid w:val="00611287"/>
    <w:rsid w:val="00611714"/>
    <w:rsid w:val="00611715"/>
    <w:rsid w:val="00611855"/>
    <w:rsid w:val="00611B38"/>
    <w:rsid w:val="006122C1"/>
    <w:rsid w:val="006136B7"/>
    <w:rsid w:val="006136FD"/>
    <w:rsid w:val="00613724"/>
    <w:rsid w:val="00613A0E"/>
    <w:rsid w:val="00613AAE"/>
    <w:rsid w:val="00613CF3"/>
    <w:rsid w:val="0061439E"/>
    <w:rsid w:val="0061446B"/>
    <w:rsid w:val="0061478D"/>
    <w:rsid w:val="00614929"/>
    <w:rsid w:val="00614B16"/>
    <w:rsid w:val="00615302"/>
    <w:rsid w:val="006155C4"/>
    <w:rsid w:val="006166E9"/>
    <w:rsid w:val="0061726A"/>
    <w:rsid w:val="006178C6"/>
    <w:rsid w:val="00617F52"/>
    <w:rsid w:val="00620135"/>
    <w:rsid w:val="006209A8"/>
    <w:rsid w:val="00620BA3"/>
    <w:rsid w:val="00620D74"/>
    <w:rsid w:val="0062130E"/>
    <w:rsid w:val="00621318"/>
    <w:rsid w:val="006224C1"/>
    <w:rsid w:val="006227DA"/>
    <w:rsid w:val="006227E2"/>
    <w:rsid w:val="00622C55"/>
    <w:rsid w:val="00623201"/>
    <w:rsid w:val="00623DF9"/>
    <w:rsid w:val="00624561"/>
    <w:rsid w:val="006245CF"/>
    <w:rsid w:val="00624960"/>
    <w:rsid w:val="00624E24"/>
    <w:rsid w:val="00624E2C"/>
    <w:rsid w:val="00624F02"/>
    <w:rsid w:val="00625084"/>
    <w:rsid w:val="00625A03"/>
    <w:rsid w:val="00625B2F"/>
    <w:rsid w:val="00625E67"/>
    <w:rsid w:val="00626187"/>
    <w:rsid w:val="00626984"/>
    <w:rsid w:val="00626C24"/>
    <w:rsid w:val="006271D9"/>
    <w:rsid w:val="00627F32"/>
    <w:rsid w:val="006303EF"/>
    <w:rsid w:val="0063084D"/>
    <w:rsid w:val="006308F0"/>
    <w:rsid w:val="0063091A"/>
    <w:rsid w:val="00630BB7"/>
    <w:rsid w:val="00631186"/>
    <w:rsid w:val="00631339"/>
    <w:rsid w:val="006313F5"/>
    <w:rsid w:val="0063193D"/>
    <w:rsid w:val="00632061"/>
    <w:rsid w:val="00632592"/>
    <w:rsid w:val="00632655"/>
    <w:rsid w:val="00632745"/>
    <w:rsid w:val="00632AF4"/>
    <w:rsid w:val="006333A3"/>
    <w:rsid w:val="00633683"/>
    <w:rsid w:val="006337ED"/>
    <w:rsid w:val="006346B7"/>
    <w:rsid w:val="00634865"/>
    <w:rsid w:val="00634F79"/>
    <w:rsid w:val="00635631"/>
    <w:rsid w:val="00635980"/>
    <w:rsid w:val="00635E0B"/>
    <w:rsid w:val="00635EC5"/>
    <w:rsid w:val="00636477"/>
    <w:rsid w:val="00636B38"/>
    <w:rsid w:val="006373C5"/>
    <w:rsid w:val="00637486"/>
    <w:rsid w:val="006376ED"/>
    <w:rsid w:val="00637724"/>
    <w:rsid w:val="0063777F"/>
    <w:rsid w:val="00637AC7"/>
    <w:rsid w:val="00637D6C"/>
    <w:rsid w:val="006406C4"/>
    <w:rsid w:val="00640734"/>
    <w:rsid w:val="006408FB"/>
    <w:rsid w:val="00640936"/>
    <w:rsid w:val="00640C20"/>
    <w:rsid w:val="006418AF"/>
    <w:rsid w:val="00641B34"/>
    <w:rsid w:val="00641D61"/>
    <w:rsid w:val="00642430"/>
    <w:rsid w:val="006425E4"/>
    <w:rsid w:val="0064260A"/>
    <w:rsid w:val="00643543"/>
    <w:rsid w:val="006448F8"/>
    <w:rsid w:val="006453C5"/>
    <w:rsid w:val="006458EC"/>
    <w:rsid w:val="00645F23"/>
    <w:rsid w:val="00646B3D"/>
    <w:rsid w:val="00646C1B"/>
    <w:rsid w:val="00647477"/>
    <w:rsid w:val="006475CE"/>
    <w:rsid w:val="00647EB3"/>
    <w:rsid w:val="00651138"/>
    <w:rsid w:val="006511A3"/>
    <w:rsid w:val="00651330"/>
    <w:rsid w:val="00651807"/>
    <w:rsid w:val="00651A62"/>
    <w:rsid w:val="006520A7"/>
    <w:rsid w:val="006527A8"/>
    <w:rsid w:val="00653100"/>
    <w:rsid w:val="006535F3"/>
    <w:rsid w:val="00653FA4"/>
    <w:rsid w:val="00654789"/>
    <w:rsid w:val="006550B5"/>
    <w:rsid w:val="006559C3"/>
    <w:rsid w:val="00655A00"/>
    <w:rsid w:val="00655A3B"/>
    <w:rsid w:val="006561D7"/>
    <w:rsid w:val="0065633E"/>
    <w:rsid w:val="006566F6"/>
    <w:rsid w:val="00656A22"/>
    <w:rsid w:val="00656C30"/>
    <w:rsid w:val="00657213"/>
    <w:rsid w:val="0065733C"/>
    <w:rsid w:val="00657611"/>
    <w:rsid w:val="00657C0B"/>
    <w:rsid w:val="00657D09"/>
    <w:rsid w:val="00660964"/>
    <w:rsid w:val="00660FB3"/>
    <w:rsid w:val="006610A6"/>
    <w:rsid w:val="006613E6"/>
    <w:rsid w:val="006616A5"/>
    <w:rsid w:val="00661C98"/>
    <w:rsid w:val="00661E38"/>
    <w:rsid w:val="00661E6C"/>
    <w:rsid w:val="0066237F"/>
    <w:rsid w:val="00662E47"/>
    <w:rsid w:val="006632F9"/>
    <w:rsid w:val="006638CB"/>
    <w:rsid w:val="00663B82"/>
    <w:rsid w:val="00663BF7"/>
    <w:rsid w:val="00663EDB"/>
    <w:rsid w:val="00664219"/>
    <w:rsid w:val="00664482"/>
    <w:rsid w:val="00664755"/>
    <w:rsid w:val="00664DA9"/>
    <w:rsid w:val="0066598D"/>
    <w:rsid w:val="006659BE"/>
    <w:rsid w:val="00665B1A"/>
    <w:rsid w:val="00665E7A"/>
    <w:rsid w:val="00665F2F"/>
    <w:rsid w:val="00666160"/>
    <w:rsid w:val="00666945"/>
    <w:rsid w:val="00666C63"/>
    <w:rsid w:val="00666E11"/>
    <w:rsid w:val="00670201"/>
    <w:rsid w:val="00670A6D"/>
    <w:rsid w:val="00671CBE"/>
    <w:rsid w:val="00671EF5"/>
    <w:rsid w:val="00672DC7"/>
    <w:rsid w:val="00672DD5"/>
    <w:rsid w:val="00673566"/>
    <w:rsid w:val="00673610"/>
    <w:rsid w:val="00673937"/>
    <w:rsid w:val="00674346"/>
    <w:rsid w:val="006746A3"/>
    <w:rsid w:val="00675797"/>
    <w:rsid w:val="00675919"/>
    <w:rsid w:val="00675A26"/>
    <w:rsid w:val="00675F26"/>
    <w:rsid w:val="00676100"/>
    <w:rsid w:val="006764B3"/>
    <w:rsid w:val="00676C85"/>
    <w:rsid w:val="00677649"/>
    <w:rsid w:val="00677856"/>
    <w:rsid w:val="0068029C"/>
    <w:rsid w:val="0068062F"/>
    <w:rsid w:val="00680F24"/>
    <w:rsid w:val="0068135E"/>
    <w:rsid w:val="00681447"/>
    <w:rsid w:val="0068146E"/>
    <w:rsid w:val="00681683"/>
    <w:rsid w:val="00681700"/>
    <w:rsid w:val="00682E00"/>
    <w:rsid w:val="00683FDC"/>
    <w:rsid w:val="0068420A"/>
    <w:rsid w:val="006847AF"/>
    <w:rsid w:val="006849CE"/>
    <w:rsid w:val="00684A24"/>
    <w:rsid w:val="006858E7"/>
    <w:rsid w:val="00685AF2"/>
    <w:rsid w:val="00685B20"/>
    <w:rsid w:val="00687182"/>
    <w:rsid w:val="00687AFB"/>
    <w:rsid w:val="00687B79"/>
    <w:rsid w:val="00687E61"/>
    <w:rsid w:val="00687FDD"/>
    <w:rsid w:val="00690064"/>
    <w:rsid w:val="006905C6"/>
    <w:rsid w:val="006907C5"/>
    <w:rsid w:val="00690A19"/>
    <w:rsid w:val="00690E16"/>
    <w:rsid w:val="0069109A"/>
    <w:rsid w:val="00691426"/>
    <w:rsid w:val="00691446"/>
    <w:rsid w:val="006917CD"/>
    <w:rsid w:val="00691B34"/>
    <w:rsid w:val="00691D95"/>
    <w:rsid w:val="00691DFE"/>
    <w:rsid w:val="006924C1"/>
    <w:rsid w:val="00692780"/>
    <w:rsid w:val="00692A00"/>
    <w:rsid w:val="006934ED"/>
    <w:rsid w:val="00693548"/>
    <w:rsid w:val="00693595"/>
    <w:rsid w:val="00693928"/>
    <w:rsid w:val="006939D7"/>
    <w:rsid w:val="006941FC"/>
    <w:rsid w:val="006947A9"/>
    <w:rsid w:val="006949D2"/>
    <w:rsid w:val="00694C06"/>
    <w:rsid w:val="00694C5F"/>
    <w:rsid w:val="00695140"/>
    <w:rsid w:val="006955B2"/>
    <w:rsid w:val="00696587"/>
    <w:rsid w:val="00696917"/>
    <w:rsid w:val="006971D7"/>
    <w:rsid w:val="0069746E"/>
    <w:rsid w:val="00697544"/>
    <w:rsid w:val="00697946"/>
    <w:rsid w:val="00697C4E"/>
    <w:rsid w:val="006A028F"/>
    <w:rsid w:val="006A0AF2"/>
    <w:rsid w:val="006A0DE8"/>
    <w:rsid w:val="006A1331"/>
    <w:rsid w:val="006A14AE"/>
    <w:rsid w:val="006A2333"/>
    <w:rsid w:val="006A23D3"/>
    <w:rsid w:val="006A38F5"/>
    <w:rsid w:val="006A3903"/>
    <w:rsid w:val="006A3F08"/>
    <w:rsid w:val="006A4A9C"/>
    <w:rsid w:val="006A4D43"/>
    <w:rsid w:val="006A5A30"/>
    <w:rsid w:val="006A6325"/>
    <w:rsid w:val="006A6E1D"/>
    <w:rsid w:val="006A71A2"/>
    <w:rsid w:val="006A72F2"/>
    <w:rsid w:val="006A742B"/>
    <w:rsid w:val="006A757A"/>
    <w:rsid w:val="006A77B9"/>
    <w:rsid w:val="006A7A0B"/>
    <w:rsid w:val="006B0328"/>
    <w:rsid w:val="006B15F7"/>
    <w:rsid w:val="006B169E"/>
    <w:rsid w:val="006B177F"/>
    <w:rsid w:val="006B1A42"/>
    <w:rsid w:val="006B1A89"/>
    <w:rsid w:val="006B2842"/>
    <w:rsid w:val="006B2E90"/>
    <w:rsid w:val="006B2E9F"/>
    <w:rsid w:val="006B32AB"/>
    <w:rsid w:val="006B33B4"/>
    <w:rsid w:val="006B388A"/>
    <w:rsid w:val="006B4253"/>
    <w:rsid w:val="006B43EC"/>
    <w:rsid w:val="006B5691"/>
    <w:rsid w:val="006B58E6"/>
    <w:rsid w:val="006B652D"/>
    <w:rsid w:val="006B65A7"/>
    <w:rsid w:val="006B682E"/>
    <w:rsid w:val="006B68E0"/>
    <w:rsid w:val="006B6C95"/>
    <w:rsid w:val="006B6F8B"/>
    <w:rsid w:val="006B72FB"/>
    <w:rsid w:val="006B7F66"/>
    <w:rsid w:val="006C1910"/>
    <w:rsid w:val="006C1AC7"/>
    <w:rsid w:val="006C209F"/>
    <w:rsid w:val="006C2544"/>
    <w:rsid w:val="006C320A"/>
    <w:rsid w:val="006C32DC"/>
    <w:rsid w:val="006C3577"/>
    <w:rsid w:val="006C37F9"/>
    <w:rsid w:val="006C3998"/>
    <w:rsid w:val="006C3EC7"/>
    <w:rsid w:val="006C4BC8"/>
    <w:rsid w:val="006C4E53"/>
    <w:rsid w:val="006C56DA"/>
    <w:rsid w:val="006C5846"/>
    <w:rsid w:val="006C58F9"/>
    <w:rsid w:val="006C60D0"/>
    <w:rsid w:val="006C6511"/>
    <w:rsid w:val="006C655B"/>
    <w:rsid w:val="006C76FB"/>
    <w:rsid w:val="006C79C1"/>
    <w:rsid w:val="006D001F"/>
    <w:rsid w:val="006D1884"/>
    <w:rsid w:val="006D1972"/>
    <w:rsid w:val="006D19FD"/>
    <w:rsid w:val="006D1A13"/>
    <w:rsid w:val="006D1F1E"/>
    <w:rsid w:val="006D329F"/>
    <w:rsid w:val="006D32F6"/>
    <w:rsid w:val="006D4362"/>
    <w:rsid w:val="006D49AC"/>
    <w:rsid w:val="006D4A96"/>
    <w:rsid w:val="006D4AA0"/>
    <w:rsid w:val="006D4B3F"/>
    <w:rsid w:val="006D4C62"/>
    <w:rsid w:val="006D547A"/>
    <w:rsid w:val="006D554A"/>
    <w:rsid w:val="006D56A5"/>
    <w:rsid w:val="006D5A84"/>
    <w:rsid w:val="006D5B3B"/>
    <w:rsid w:val="006D5C23"/>
    <w:rsid w:val="006D60C2"/>
    <w:rsid w:val="006D629F"/>
    <w:rsid w:val="006D67E2"/>
    <w:rsid w:val="006D698F"/>
    <w:rsid w:val="006D6D66"/>
    <w:rsid w:val="006D712C"/>
    <w:rsid w:val="006D7ADA"/>
    <w:rsid w:val="006D7B17"/>
    <w:rsid w:val="006E0D0F"/>
    <w:rsid w:val="006E1047"/>
    <w:rsid w:val="006E1373"/>
    <w:rsid w:val="006E16AE"/>
    <w:rsid w:val="006E1820"/>
    <w:rsid w:val="006E237B"/>
    <w:rsid w:val="006E29A5"/>
    <w:rsid w:val="006E2B1A"/>
    <w:rsid w:val="006E2B36"/>
    <w:rsid w:val="006E3763"/>
    <w:rsid w:val="006E37A9"/>
    <w:rsid w:val="006E38D8"/>
    <w:rsid w:val="006E3A5D"/>
    <w:rsid w:val="006E4250"/>
    <w:rsid w:val="006E43AD"/>
    <w:rsid w:val="006E45C9"/>
    <w:rsid w:val="006E4C13"/>
    <w:rsid w:val="006E638A"/>
    <w:rsid w:val="006E6450"/>
    <w:rsid w:val="006E66B8"/>
    <w:rsid w:val="006E69CC"/>
    <w:rsid w:val="006E6A83"/>
    <w:rsid w:val="006E6BD0"/>
    <w:rsid w:val="006E6C7A"/>
    <w:rsid w:val="006E7200"/>
    <w:rsid w:val="006E7C12"/>
    <w:rsid w:val="006F07C5"/>
    <w:rsid w:val="006F0849"/>
    <w:rsid w:val="006F0A20"/>
    <w:rsid w:val="006F0BE7"/>
    <w:rsid w:val="006F0E5F"/>
    <w:rsid w:val="006F1312"/>
    <w:rsid w:val="006F1D3B"/>
    <w:rsid w:val="006F1D7D"/>
    <w:rsid w:val="006F1DDA"/>
    <w:rsid w:val="006F1EFB"/>
    <w:rsid w:val="006F265F"/>
    <w:rsid w:val="006F2755"/>
    <w:rsid w:val="006F32B3"/>
    <w:rsid w:val="006F3389"/>
    <w:rsid w:val="006F41C3"/>
    <w:rsid w:val="006F44B3"/>
    <w:rsid w:val="006F460E"/>
    <w:rsid w:val="006F4649"/>
    <w:rsid w:val="006F4DBC"/>
    <w:rsid w:val="006F5135"/>
    <w:rsid w:val="006F54CC"/>
    <w:rsid w:val="006F5528"/>
    <w:rsid w:val="006F552B"/>
    <w:rsid w:val="006F5782"/>
    <w:rsid w:val="006F5850"/>
    <w:rsid w:val="006F6039"/>
    <w:rsid w:val="006F6255"/>
    <w:rsid w:val="006F6453"/>
    <w:rsid w:val="006F6659"/>
    <w:rsid w:val="006F71DA"/>
    <w:rsid w:val="006F7553"/>
    <w:rsid w:val="006F79AB"/>
    <w:rsid w:val="006F7E8D"/>
    <w:rsid w:val="007005DF"/>
    <w:rsid w:val="0070081B"/>
    <w:rsid w:val="007009F8"/>
    <w:rsid w:val="00700C8C"/>
    <w:rsid w:val="0070113A"/>
    <w:rsid w:val="0070184A"/>
    <w:rsid w:val="00701A88"/>
    <w:rsid w:val="00701ACD"/>
    <w:rsid w:val="00701B21"/>
    <w:rsid w:val="00701D40"/>
    <w:rsid w:val="007024F0"/>
    <w:rsid w:val="007026C0"/>
    <w:rsid w:val="007026D6"/>
    <w:rsid w:val="00702909"/>
    <w:rsid w:val="00702CAC"/>
    <w:rsid w:val="007032DC"/>
    <w:rsid w:val="007032E8"/>
    <w:rsid w:val="00703E35"/>
    <w:rsid w:val="00704168"/>
    <w:rsid w:val="00704686"/>
    <w:rsid w:val="00704C82"/>
    <w:rsid w:val="00704E4F"/>
    <w:rsid w:val="00705989"/>
    <w:rsid w:val="00705BDB"/>
    <w:rsid w:val="00705C33"/>
    <w:rsid w:val="00705FBF"/>
    <w:rsid w:val="007060FE"/>
    <w:rsid w:val="00706F15"/>
    <w:rsid w:val="00710043"/>
    <w:rsid w:val="00710138"/>
    <w:rsid w:val="007105EE"/>
    <w:rsid w:val="007109B3"/>
    <w:rsid w:val="00710A63"/>
    <w:rsid w:val="00710C6F"/>
    <w:rsid w:val="00710E30"/>
    <w:rsid w:val="0071128B"/>
    <w:rsid w:val="00711895"/>
    <w:rsid w:val="007119C8"/>
    <w:rsid w:val="00711ECE"/>
    <w:rsid w:val="00711FDE"/>
    <w:rsid w:val="007130A0"/>
    <w:rsid w:val="00713159"/>
    <w:rsid w:val="007133FE"/>
    <w:rsid w:val="00713598"/>
    <w:rsid w:val="0071382D"/>
    <w:rsid w:val="00713884"/>
    <w:rsid w:val="00713A65"/>
    <w:rsid w:val="00714100"/>
    <w:rsid w:val="00714199"/>
    <w:rsid w:val="007142F6"/>
    <w:rsid w:val="007149A9"/>
    <w:rsid w:val="00714DD2"/>
    <w:rsid w:val="00715B0A"/>
    <w:rsid w:val="0071610F"/>
    <w:rsid w:val="00716403"/>
    <w:rsid w:val="007166D2"/>
    <w:rsid w:val="00716880"/>
    <w:rsid w:val="00716A9D"/>
    <w:rsid w:val="00716AF5"/>
    <w:rsid w:val="007170CB"/>
    <w:rsid w:val="007174AD"/>
    <w:rsid w:val="007200B1"/>
    <w:rsid w:val="00720746"/>
    <w:rsid w:val="00720B93"/>
    <w:rsid w:val="00720E47"/>
    <w:rsid w:val="00721197"/>
    <w:rsid w:val="00721205"/>
    <w:rsid w:val="00721638"/>
    <w:rsid w:val="00721651"/>
    <w:rsid w:val="00721691"/>
    <w:rsid w:val="00721B73"/>
    <w:rsid w:val="007220CD"/>
    <w:rsid w:val="00722486"/>
    <w:rsid w:val="00722829"/>
    <w:rsid w:val="00722C14"/>
    <w:rsid w:val="00723705"/>
    <w:rsid w:val="0072384A"/>
    <w:rsid w:val="007238C7"/>
    <w:rsid w:val="00724227"/>
    <w:rsid w:val="00724AC4"/>
    <w:rsid w:val="00724C04"/>
    <w:rsid w:val="00724C3A"/>
    <w:rsid w:val="00724F94"/>
    <w:rsid w:val="0072534C"/>
    <w:rsid w:val="0072540F"/>
    <w:rsid w:val="00725625"/>
    <w:rsid w:val="00725702"/>
    <w:rsid w:val="00725A9C"/>
    <w:rsid w:val="00726201"/>
    <w:rsid w:val="00726775"/>
    <w:rsid w:val="00727C3E"/>
    <w:rsid w:val="00727C66"/>
    <w:rsid w:val="0073032D"/>
    <w:rsid w:val="00730BFB"/>
    <w:rsid w:val="00730CC7"/>
    <w:rsid w:val="007314F8"/>
    <w:rsid w:val="00731535"/>
    <w:rsid w:val="00731622"/>
    <w:rsid w:val="0073165A"/>
    <w:rsid w:val="00731678"/>
    <w:rsid w:val="00731E16"/>
    <w:rsid w:val="00732242"/>
    <w:rsid w:val="00732754"/>
    <w:rsid w:val="0073345B"/>
    <w:rsid w:val="00733BB0"/>
    <w:rsid w:val="00733BB7"/>
    <w:rsid w:val="00736434"/>
    <w:rsid w:val="00736D52"/>
    <w:rsid w:val="00737584"/>
    <w:rsid w:val="007377F9"/>
    <w:rsid w:val="00737AC2"/>
    <w:rsid w:val="00740627"/>
    <w:rsid w:val="00740D0B"/>
    <w:rsid w:val="00741174"/>
    <w:rsid w:val="00741185"/>
    <w:rsid w:val="007411BA"/>
    <w:rsid w:val="00741476"/>
    <w:rsid w:val="00741869"/>
    <w:rsid w:val="00741A0D"/>
    <w:rsid w:val="0074205F"/>
    <w:rsid w:val="007420AA"/>
    <w:rsid w:val="0074248F"/>
    <w:rsid w:val="007428D4"/>
    <w:rsid w:val="00742B89"/>
    <w:rsid w:val="00742C0B"/>
    <w:rsid w:val="00743050"/>
    <w:rsid w:val="0074383C"/>
    <w:rsid w:val="0074418E"/>
    <w:rsid w:val="007441AA"/>
    <w:rsid w:val="00744662"/>
    <w:rsid w:val="00744948"/>
    <w:rsid w:val="00745870"/>
    <w:rsid w:val="00745A36"/>
    <w:rsid w:val="00745E4A"/>
    <w:rsid w:val="007464DE"/>
    <w:rsid w:val="007465DD"/>
    <w:rsid w:val="00746D09"/>
    <w:rsid w:val="00746DD4"/>
    <w:rsid w:val="0074784F"/>
    <w:rsid w:val="007479EF"/>
    <w:rsid w:val="00747DBC"/>
    <w:rsid w:val="00750167"/>
    <w:rsid w:val="00750388"/>
    <w:rsid w:val="00750441"/>
    <w:rsid w:val="0075076B"/>
    <w:rsid w:val="00750B87"/>
    <w:rsid w:val="00750BBA"/>
    <w:rsid w:val="00750E3B"/>
    <w:rsid w:val="00751A4A"/>
    <w:rsid w:val="00751CB1"/>
    <w:rsid w:val="00751E0A"/>
    <w:rsid w:val="00752B7D"/>
    <w:rsid w:val="00752BD0"/>
    <w:rsid w:val="00753014"/>
    <w:rsid w:val="00753325"/>
    <w:rsid w:val="00753466"/>
    <w:rsid w:val="00753575"/>
    <w:rsid w:val="007538D7"/>
    <w:rsid w:val="0075401E"/>
    <w:rsid w:val="00754057"/>
    <w:rsid w:val="0075426C"/>
    <w:rsid w:val="00754659"/>
    <w:rsid w:val="007549D5"/>
    <w:rsid w:val="00754B26"/>
    <w:rsid w:val="00754C00"/>
    <w:rsid w:val="007558B2"/>
    <w:rsid w:val="00755922"/>
    <w:rsid w:val="00755C4F"/>
    <w:rsid w:val="00755D63"/>
    <w:rsid w:val="00755E8C"/>
    <w:rsid w:val="00755F24"/>
    <w:rsid w:val="0075620D"/>
    <w:rsid w:val="007562A4"/>
    <w:rsid w:val="0075653A"/>
    <w:rsid w:val="0075669C"/>
    <w:rsid w:val="00756949"/>
    <w:rsid w:val="00756EA1"/>
    <w:rsid w:val="00756FA2"/>
    <w:rsid w:val="007570EA"/>
    <w:rsid w:val="007577E3"/>
    <w:rsid w:val="00757AFA"/>
    <w:rsid w:val="00757CF9"/>
    <w:rsid w:val="00760556"/>
    <w:rsid w:val="00760A57"/>
    <w:rsid w:val="00760A76"/>
    <w:rsid w:val="00760B57"/>
    <w:rsid w:val="0076168A"/>
    <w:rsid w:val="00761785"/>
    <w:rsid w:val="007618BB"/>
    <w:rsid w:val="0076191A"/>
    <w:rsid w:val="007621B2"/>
    <w:rsid w:val="0076244C"/>
    <w:rsid w:val="00762627"/>
    <w:rsid w:val="00762695"/>
    <w:rsid w:val="00762831"/>
    <w:rsid w:val="00762F01"/>
    <w:rsid w:val="00763581"/>
    <w:rsid w:val="00763A58"/>
    <w:rsid w:val="00763BBB"/>
    <w:rsid w:val="00763F19"/>
    <w:rsid w:val="0076436E"/>
    <w:rsid w:val="0076447C"/>
    <w:rsid w:val="0076463A"/>
    <w:rsid w:val="00764FC1"/>
    <w:rsid w:val="007651E9"/>
    <w:rsid w:val="0076596A"/>
    <w:rsid w:val="00766537"/>
    <w:rsid w:val="007665A0"/>
    <w:rsid w:val="00766930"/>
    <w:rsid w:val="0076732F"/>
    <w:rsid w:val="007676A3"/>
    <w:rsid w:val="007679CC"/>
    <w:rsid w:val="00767B6E"/>
    <w:rsid w:val="00770433"/>
    <w:rsid w:val="007716FE"/>
    <w:rsid w:val="00771986"/>
    <w:rsid w:val="00771CC1"/>
    <w:rsid w:val="00771D68"/>
    <w:rsid w:val="007720E2"/>
    <w:rsid w:val="007726E3"/>
    <w:rsid w:val="00772C7E"/>
    <w:rsid w:val="007730AD"/>
    <w:rsid w:val="00773707"/>
    <w:rsid w:val="00773DB2"/>
    <w:rsid w:val="007741C6"/>
    <w:rsid w:val="00774760"/>
    <w:rsid w:val="00774FD6"/>
    <w:rsid w:val="007750A8"/>
    <w:rsid w:val="0077531B"/>
    <w:rsid w:val="00775C6A"/>
    <w:rsid w:val="00776B70"/>
    <w:rsid w:val="00776C6B"/>
    <w:rsid w:val="00776F5E"/>
    <w:rsid w:val="00777E02"/>
    <w:rsid w:val="00777FC8"/>
    <w:rsid w:val="0078088D"/>
    <w:rsid w:val="00780C10"/>
    <w:rsid w:val="007811EE"/>
    <w:rsid w:val="007813FD"/>
    <w:rsid w:val="00781422"/>
    <w:rsid w:val="0078180D"/>
    <w:rsid w:val="00781EEF"/>
    <w:rsid w:val="00781FA5"/>
    <w:rsid w:val="00782936"/>
    <w:rsid w:val="00782C2E"/>
    <w:rsid w:val="00782CB2"/>
    <w:rsid w:val="00782E60"/>
    <w:rsid w:val="00783061"/>
    <w:rsid w:val="00783131"/>
    <w:rsid w:val="00783607"/>
    <w:rsid w:val="00783B67"/>
    <w:rsid w:val="007840C8"/>
    <w:rsid w:val="0078428E"/>
    <w:rsid w:val="007844B0"/>
    <w:rsid w:val="00784F7E"/>
    <w:rsid w:val="00785371"/>
    <w:rsid w:val="00785485"/>
    <w:rsid w:val="00785826"/>
    <w:rsid w:val="00785922"/>
    <w:rsid w:val="007859CD"/>
    <w:rsid w:val="007859D8"/>
    <w:rsid w:val="00785CBD"/>
    <w:rsid w:val="00785F2E"/>
    <w:rsid w:val="0078616D"/>
    <w:rsid w:val="00786446"/>
    <w:rsid w:val="007867FA"/>
    <w:rsid w:val="00786E47"/>
    <w:rsid w:val="00786F76"/>
    <w:rsid w:val="0078711C"/>
    <w:rsid w:val="007873EC"/>
    <w:rsid w:val="00787F0D"/>
    <w:rsid w:val="007902A4"/>
    <w:rsid w:val="00790371"/>
    <w:rsid w:val="00790C62"/>
    <w:rsid w:val="00790DCB"/>
    <w:rsid w:val="00790E98"/>
    <w:rsid w:val="00791DFD"/>
    <w:rsid w:val="00791E78"/>
    <w:rsid w:val="00791F10"/>
    <w:rsid w:val="00791FB1"/>
    <w:rsid w:val="00792103"/>
    <w:rsid w:val="0079227F"/>
    <w:rsid w:val="0079278F"/>
    <w:rsid w:val="00792B66"/>
    <w:rsid w:val="00792F6A"/>
    <w:rsid w:val="007932FA"/>
    <w:rsid w:val="00793532"/>
    <w:rsid w:val="007936EB"/>
    <w:rsid w:val="0079375D"/>
    <w:rsid w:val="00793905"/>
    <w:rsid w:val="00793B3F"/>
    <w:rsid w:val="00794187"/>
    <w:rsid w:val="007941DA"/>
    <w:rsid w:val="00794E05"/>
    <w:rsid w:val="00794E0C"/>
    <w:rsid w:val="0079513D"/>
    <w:rsid w:val="00795274"/>
    <w:rsid w:val="0079537D"/>
    <w:rsid w:val="007953AD"/>
    <w:rsid w:val="00795B9A"/>
    <w:rsid w:val="00796998"/>
    <w:rsid w:val="00796C04"/>
    <w:rsid w:val="00797192"/>
    <w:rsid w:val="0079749C"/>
    <w:rsid w:val="007974D3"/>
    <w:rsid w:val="00797879"/>
    <w:rsid w:val="00797A95"/>
    <w:rsid w:val="00797DA6"/>
    <w:rsid w:val="007A0181"/>
    <w:rsid w:val="007A02C8"/>
    <w:rsid w:val="007A054B"/>
    <w:rsid w:val="007A092E"/>
    <w:rsid w:val="007A0EA7"/>
    <w:rsid w:val="007A1722"/>
    <w:rsid w:val="007A17D9"/>
    <w:rsid w:val="007A1864"/>
    <w:rsid w:val="007A1C1D"/>
    <w:rsid w:val="007A2437"/>
    <w:rsid w:val="007A2D80"/>
    <w:rsid w:val="007A2F0C"/>
    <w:rsid w:val="007A301D"/>
    <w:rsid w:val="007A30DC"/>
    <w:rsid w:val="007A3A04"/>
    <w:rsid w:val="007A3DDC"/>
    <w:rsid w:val="007A3FAA"/>
    <w:rsid w:val="007A4149"/>
    <w:rsid w:val="007A4538"/>
    <w:rsid w:val="007A47E6"/>
    <w:rsid w:val="007A48C1"/>
    <w:rsid w:val="007A54A9"/>
    <w:rsid w:val="007A589A"/>
    <w:rsid w:val="007A6928"/>
    <w:rsid w:val="007A6B9A"/>
    <w:rsid w:val="007A6CD4"/>
    <w:rsid w:val="007A7425"/>
    <w:rsid w:val="007A76CD"/>
    <w:rsid w:val="007A7F70"/>
    <w:rsid w:val="007B00C2"/>
    <w:rsid w:val="007B04D9"/>
    <w:rsid w:val="007B06C1"/>
    <w:rsid w:val="007B083C"/>
    <w:rsid w:val="007B0E7A"/>
    <w:rsid w:val="007B0EA0"/>
    <w:rsid w:val="007B112B"/>
    <w:rsid w:val="007B1340"/>
    <w:rsid w:val="007B15BE"/>
    <w:rsid w:val="007B186E"/>
    <w:rsid w:val="007B2126"/>
    <w:rsid w:val="007B2224"/>
    <w:rsid w:val="007B26D2"/>
    <w:rsid w:val="007B2A5B"/>
    <w:rsid w:val="007B2BBC"/>
    <w:rsid w:val="007B30FF"/>
    <w:rsid w:val="007B3242"/>
    <w:rsid w:val="007B3524"/>
    <w:rsid w:val="007B35AF"/>
    <w:rsid w:val="007B36AD"/>
    <w:rsid w:val="007B3898"/>
    <w:rsid w:val="007B3A78"/>
    <w:rsid w:val="007B3B7E"/>
    <w:rsid w:val="007B4E30"/>
    <w:rsid w:val="007B4FF3"/>
    <w:rsid w:val="007B53E5"/>
    <w:rsid w:val="007B5763"/>
    <w:rsid w:val="007B5907"/>
    <w:rsid w:val="007B5EBA"/>
    <w:rsid w:val="007B6D98"/>
    <w:rsid w:val="007B70FB"/>
    <w:rsid w:val="007B748C"/>
    <w:rsid w:val="007B78A2"/>
    <w:rsid w:val="007C0362"/>
    <w:rsid w:val="007C0382"/>
    <w:rsid w:val="007C04D7"/>
    <w:rsid w:val="007C0A80"/>
    <w:rsid w:val="007C1072"/>
    <w:rsid w:val="007C142A"/>
    <w:rsid w:val="007C14A5"/>
    <w:rsid w:val="007C1C58"/>
    <w:rsid w:val="007C1F67"/>
    <w:rsid w:val="007C35C3"/>
    <w:rsid w:val="007C3960"/>
    <w:rsid w:val="007C3C7A"/>
    <w:rsid w:val="007C418C"/>
    <w:rsid w:val="007C42BA"/>
    <w:rsid w:val="007C48DA"/>
    <w:rsid w:val="007C5125"/>
    <w:rsid w:val="007C573A"/>
    <w:rsid w:val="007C5967"/>
    <w:rsid w:val="007C6182"/>
    <w:rsid w:val="007C65E8"/>
    <w:rsid w:val="007C69FD"/>
    <w:rsid w:val="007C752D"/>
    <w:rsid w:val="007D007F"/>
    <w:rsid w:val="007D07B2"/>
    <w:rsid w:val="007D07F3"/>
    <w:rsid w:val="007D0E23"/>
    <w:rsid w:val="007D1222"/>
    <w:rsid w:val="007D1DA4"/>
    <w:rsid w:val="007D244F"/>
    <w:rsid w:val="007D29A4"/>
    <w:rsid w:val="007D29D3"/>
    <w:rsid w:val="007D2E8C"/>
    <w:rsid w:val="007D36A7"/>
    <w:rsid w:val="007D3827"/>
    <w:rsid w:val="007D3CD8"/>
    <w:rsid w:val="007D408C"/>
    <w:rsid w:val="007D425C"/>
    <w:rsid w:val="007D46CD"/>
    <w:rsid w:val="007D4C5A"/>
    <w:rsid w:val="007D50FF"/>
    <w:rsid w:val="007D5184"/>
    <w:rsid w:val="007D566B"/>
    <w:rsid w:val="007D5D9F"/>
    <w:rsid w:val="007D69C0"/>
    <w:rsid w:val="007D6AB2"/>
    <w:rsid w:val="007D7C0A"/>
    <w:rsid w:val="007E030B"/>
    <w:rsid w:val="007E09DD"/>
    <w:rsid w:val="007E0ABB"/>
    <w:rsid w:val="007E0CD5"/>
    <w:rsid w:val="007E0FF8"/>
    <w:rsid w:val="007E1229"/>
    <w:rsid w:val="007E1778"/>
    <w:rsid w:val="007E1DE4"/>
    <w:rsid w:val="007E239B"/>
    <w:rsid w:val="007E26AE"/>
    <w:rsid w:val="007E2C69"/>
    <w:rsid w:val="007E39ED"/>
    <w:rsid w:val="007E3BA0"/>
    <w:rsid w:val="007E3E99"/>
    <w:rsid w:val="007E451B"/>
    <w:rsid w:val="007E4946"/>
    <w:rsid w:val="007E4D95"/>
    <w:rsid w:val="007E4F1D"/>
    <w:rsid w:val="007E57A6"/>
    <w:rsid w:val="007E5A5B"/>
    <w:rsid w:val="007E60F0"/>
    <w:rsid w:val="007E67D0"/>
    <w:rsid w:val="007E6B4A"/>
    <w:rsid w:val="007E6C59"/>
    <w:rsid w:val="007E6F56"/>
    <w:rsid w:val="007E706F"/>
    <w:rsid w:val="007E707F"/>
    <w:rsid w:val="007E7F22"/>
    <w:rsid w:val="007F007B"/>
    <w:rsid w:val="007F0641"/>
    <w:rsid w:val="007F1151"/>
    <w:rsid w:val="007F122B"/>
    <w:rsid w:val="007F13B3"/>
    <w:rsid w:val="007F1411"/>
    <w:rsid w:val="007F165A"/>
    <w:rsid w:val="007F1DA0"/>
    <w:rsid w:val="007F23CB"/>
    <w:rsid w:val="007F264F"/>
    <w:rsid w:val="007F2DAE"/>
    <w:rsid w:val="007F2F49"/>
    <w:rsid w:val="007F2F54"/>
    <w:rsid w:val="007F2F65"/>
    <w:rsid w:val="007F3038"/>
    <w:rsid w:val="007F30B6"/>
    <w:rsid w:val="007F3270"/>
    <w:rsid w:val="007F32FE"/>
    <w:rsid w:val="007F37DF"/>
    <w:rsid w:val="007F3BED"/>
    <w:rsid w:val="007F4895"/>
    <w:rsid w:val="007F4A25"/>
    <w:rsid w:val="007F5819"/>
    <w:rsid w:val="007F58FB"/>
    <w:rsid w:val="007F5F6A"/>
    <w:rsid w:val="007F6642"/>
    <w:rsid w:val="007F6A19"/>
    <w:rsid w:val="007F6C1E"/>
    <w:rsid w:val="007F6D2F"/>
    <w:rsid w:val="007F7166"/>
    <w:rsid w:val="007F7507"/>
    <w:rsid w:val="007F7ACF"/>
    <w:rsid w:val="007F7C79"/>
    <w:rsid w:val="0080008D"/>
    <w:rsid w:val="00800214"/>
    <w:rsid w:val="008009F2"/>
    <w:rsid w:val="00800A28"/>
    <w:rsid w:val="00801748"/>
    <w:rsid w:val="008020DD"/>
    <w:rsid w:val="008035D0"/>
    <w:rsid w:val="00803FCE"/>
    <w:rsid w:val="00804E3F"/>
    <w:rsid w:val="00805060"/>
    <w:rsid w:val="00805483"/>
    <w:rsid w:val="008058B1"/>
    <w:rsid w:val="008063E1"/>
    <w:rsid w:val="00807044"/>
    <w:rsid w:val="008072E4"/>
    <w:rsid w:val="0081085D"/>
    <w:rsid w:val="00810A4B"/>
    <w:rsid w:val="00810CA6"/>
    <w:rsid w:val="00810D0B"/>
    <w:rsid w:val="00811086"/>
    <w:rsid w:val="008113CC"/>
    <w:rsid w:val="00812846"/>
    <w:rsid w:val="008128B7"/>
    <w:rsid w:val="00812F87"/>
    <w:rsid w:val="00813605"/>
    <w:rsid w:val="0081382C"/>
    <w:rsid w:val="0081405E"/>
    <w:rsid w:val="008143A1"/>
    <w:rsid w:val="00814951"/>
    <w:rsid w:val="00814AF7"/>
    <w:rsid w:val="00814C77"/>
    <w:rsid w:val="00815111"/>
    <w:rsid w:val="00816069"/>
    <w:rsid w:val="0081665D"/>
    <w:rsid w:val="00816E4D"/>
    <w:rsid w:val="00816EBE"/>
    <w:rsid w:val="00816F44"/>
    <w:rsid w:val="00816FCD"/>
    <w:rsid w:val="00817583"/>
    <w:rsid w:val="00817850"/>
    <w:rsid w:val="00820040"/>
    <w:rsid w:val="0082014E"/>
    <w:rsid w:val="00820A92"/>
    <w:rsid w:val="00821358"/>
    <w:rsid w:val="008218D0"/>
    <w:rsid w:val="00821AC0"/>
    <w:rsid w:val="00821DE8"/>
    <w:rsid w:val="008223B3"/>
    <w:rsid w:val="008224A7"/>
    <w:rsid w:val="00822B1E"/>
    <w:rsid w:val="0082342B"/>
    <w:rsid w:val="00823937"/>
    <w:rsid w:val="00823A8A"/>
    <w:rsid w:val="00823A9E"/>
    <w:rsid w:val="00823AFD"/>
    <w:rsid w:val="00823B4B"/>
    <w:rsid w:val="00823E8C"/>
    <w:rsid w:val="00823F36"/>
    <w:rsid w:val="008251CF"/>
    <w:rsid w:val="00825571"/>
    <w:rsid w:val="00825931"/>
    <w:rsid w:val="00825F94"/>
    <w:rsid w:val="0082600E"/>
    <w:rsid w:val="00826103"/>
    <w:rsid w:val="00826668"/>
    <w:rsid w:val="00826C8F"/>
    <w:rsid w:val="00826D96"/>
    <w:rsid w:val="00827000"/>
    <w:rsid w:val="008277CA"/>
    <w:rsid w:val="00827AD4"/>
    <w:rsid w:val="008301BB"/>
    <w:rsid w:val="00830DCF"/>
    <w:rsid w:val="00831077"/>
    <w:rsid w:val="0083166C"/>
    <w:rsid w:val="008316AC"/>
    <w:rsid w:val="0083176F"/>
    <w:rsid w:val="008319CF"/>
    <w:rsid w:val="00831A66"/>
    <w:rsid w:val="00831B3D"/>
    <w:rsid w:val="008324AA"/>
    <w:rsid w:val="00833007"/>
    <w:rsid w:val="008331AD"/>
    <w:rsid w:val="00833699"/>
    <w:rsid w:val="008339EF"/>
    <w:rsid w:val="00833FFC"/>
    <w:rsid w:val="008356BF"/>
    <w:rsid w:val="00836844"/>
    <w:rsid w:val="00836AD9"/>
    <w:rsid w:val="00836AF6"/>
    <w:rsid w:val="00836E10"/>
    <w:rsid w:val="00836F42"/>
    <w:rsid w:val="00837C97"/>
    <w:rsid w:val="00837F29"/>
    <w:rsid w:val="00840F14"/>
    <w:rsid w:val="00841543"/>
    <w:rsid w:val="00841B12"/>
    <w:rsid w:val="00841D1A"/>
    <w:rsid w:val="0084204F"/>
    <w:rsid w:val="00842C36"/>
    <w:rsid w:val="00843668"/>
    <w:rsid w:val="00844B0D"/>
    <w:rsid w:val="00844CCA"/>
    <w:rsid w:val="00844F46"/>
    <w:rsid w:val="00845478"/>
    <w:rsid w:val="00845B48"/>
    <w:rsid w:val="0084665E"/>
    <w:rsid w:val="008467A9"/>
    <w:rsid w:val="00846D31"/>
    <w:rsid w:val="00846F8E"/>
    <w:rsid w:val="00847B8D"/>
    <w:rsid w:val="00847C53"/>
    <w:rsid w:val="00847EDD"/>
    <w:rsid w:val="00850145"/>
    <w:rsid w:val="00850321"/>
    <w:rsid w:val="0085038F"/>
    <w:rsid w:val="008507DF"/>
    <w:rsid w:val="00850808"/>
    <w:rsid w:val="00850858"/>
    <w:rsid w:val="00850966"/>
    <w:rsid w:val="00850AEC"/>
    <w:rsid w:val="00850B85"/>
    <w:rsid w:val="00850C28"/>
    <w:rsid w:val="00851B66"/>
    <w:rsid w:val="00851DF3"/>
    <w:rsid w:val="008521C8"/>
    <w:rsid w:val="00852265"/>
    <w:rsid w:val="00852288"/>
    <w:rsid w:val="00852A03"/>
    <w:rsid w:val="00852DED"/>
    <w:rsid w:val="00852E60"/>
    <w:rsid w:val="00853030"/>
    <w:rsid w:val="00853F83"/>
    <w:rsid w:val="0085400D"/>
    <w:rsid w:val="00854062"/>
    <w:rsid w:val="00854789"/>
    <w:rsid w:val="00854BAA"/>
    <w:rsid w:val="00855089"/>
    <w:rsid w:val="0085575A"/>
    <w:rsid w:val="008559B5"/>
    <w:rsid w:val="00855A02"/>
    <w:rsid w:val="008563F0"/>
    <w:rsid w:val="00856B9B"/>
    <w:rsid w:val="008575C8"/>
    <w:rsid w:val="00857AAF"/>
    <w:rsid w:val="0086031E"/>
    <w:rsid w:val="0086070D"/>
    <w:rsid w:val="00860DB6"/>
    <w:rsid w:val="00861352"/>
    <w:rsid w:val="0086148E"/>
    <w:rsid w:val="00861921"/>
    <w:rsid w:val="00861E04"/>
    <w:rsid w:val="008624C1"/>
    <w:rsid w:val="0086297B"/>
    <w:rsid w:val="0086397C"/>
    <w:rsid w:val="0086406C"/>
    <w:rsid w:val="008648DF"/>
    <w:rsid w:val="00864A0C"/>
    <w:rsid w:val="00864A8B"/>
    <w:rsid w:val="008658E9"/>
    <w:rsid w:val="008663E4"/>
    <w:rsid w:val="00866F6B"/>
    <w:rsid w:val="00866FB6"/>
    <w:rsid w:val="0086715E"/>
    <w:rsid w:val="00867227"/>
    <w:rsid w:val="00867330"/>
    <w:rsid w:val="008674A9"/>
    <w:rsid w:val="00867E22"/>
    <w:rsid w:val="00867ED8"/>
    <w:rsid w:val="0087023C"/>
    <w:rsid w:val="008702D2"/>
    <w:rsid w:val="0087096F"/>
    <w:rsid w:val="008714DD"/>
    <w:rsid w:val="00871A3D"/>
    <w:rsid w:val="00871B62"/>
    <w:rsid w:val="00871F3E"/>
    <w:rsid w:val="00872341"/>
    <w:rsid w:val="00872EFF"/>
    <w:rsid w:val="00873322"/>
    <w:rsid w:val="00873734"/>
    <w:rsid w:val="008737C9"/>
    <w:rsid w:val="00873CE6"/>
    <w:rsid w:val="00873E56"/>
    <w:rsid w:val="008740F3"/>
    <w:rsid w:val="00874E00"/>
    <w:rsid w:val="00875423"/>
    <w:rsid w:val="008755BA"/>
    <w:rsid w:val="00875D05"/>
    <w:rsid w:val="00875D4D"/>
    <w:rsid w:val="00876108"/>
    <w:rsid w:val="0087647F"/>
    <w:rsid w:val="008768D7"/>
    <w:rsid w:val="00877340"/>
    <w:rsid w:val="008773A4"/>
    <w:rsid w:val="00877494"/>
    <w:rsid w:val="00877815"/>
    <w:rsid w:val="00880D1A"/>
    <w:rsid w:val="00880ECC"/>
    <w:rsid w:val="00881208"/>
    <w:rsid w:val="0088132F"/>
    <w:rsid w:val="00881413"/>
    <w:rsid w:val="00881861"/>
    <w:rsid w:val="00881C20"/>
    <w:rsid w:val="0088205C"/>
    <w:rsid w:val="00882304"/>
    <w:rsid w:val="00882775"/>
    <w:rsid w:val="00882854"/>
    <w:rsid w:val="00883A45"/>
    <w:rsid w:val="00884075"/>
    <w:rsid w:val="008847F5"/>
    <w:rsid w:val="00884C9E"/>
    <w:rsid w:val="00884ED0"/>
    <w:rsid w:val="00884EE5"/>
    <w:rsid w:val="008852E2"/>
    <w:rsid w:val="00885BCA"/>
    <w:rsid w:val="00885C57"/>
    <w:rsid w:val="00885D57"/>
    <w:rsid w:val="00886202"/>
    <w:rsid w:val="008863D0"/>
    <w:rsid w:val="0088653A"/>
    <w:rsid w:val="00886559"/>
    <w:rsid w:val="008866B3"/>
    <w:rsid w:val="008866E3"/>
    <w:rsid w:val="00886728"/>
    <w:rsid w:val="00886744"/>
    <w:rsid w:val="00887326"/>
    <w:rsid w:val="008876CE"/>
    <w:rsid w:val="00887A92"/>
    <w:rsid w:val="00887CD8"/>
    <w:rsid w:val="00887DB2"/>
    <w:rsid w:val="008904D4"/>
    <w:rsid w:val="00890CB2"/>
    <w:rsid w:val="00890D3F"/>
    <w:rsid w:val="0089177C"/>
    <w:rsid w:val="00891EC9"/>
    <w:rsid w:val="00892698"/>
    <w:rsid w:val="008928A7"/>
    <w:rsid w:val="00892DE1"/>
    <w:rsid w:val="0089322A"/>
    <w:rsid w:val="00893A9E"/>
    <w:rsid w:val="00893F4C"/>
    <w:rsid w:val="008942C0"/>
    <w:rsid w:val="008944F2"/>
    <w:rsid w:val="0089478B"/>
    <w:rsid w:val="00894AE1"/>
    <w:rsid w:val="00894E2D"/>
    <w:rsid w:val="00895126"/>
    <w:rsid w:val="00895C38"/>
    <w:rsid w:val="008962EF"/>
    <w:rsid w:val="00896944"/>
    <w:rsid w:val="00896FBA"/>
    <w:rsid w:val="008975DD"/>
    <w:rsid w:val="008A095E"/>
    <w:rsid w:val="008A0AC1"/>
    <w:rsid w:val="008A0B82"/>
    <w:rsid w:val="008A0D2B"/>
    <w:rsid w:val="008A0D58"/>
    <w:rsid w:val="008A10F4"/>
    <w:rsid w:val="008A1499"/>
    <w:rsid w:val="008A29DB"/>
    <w:rsid w:val="008A2E42"/>
    <w:rsid w:val="008A2EC4"/>
    <w:rsid w:val="008A3A44"/>
    <w:rsid w:val="008A4962"/>
    <w:rsid w:val="008A4A61"/>
    <w:rsid w:val="008A4C71"/>
    <w:rsid w:val="008A4FEF"/>
    <w:rsid w:val="008A526B"/>
    <w:rsid w:val="008A5607"/>
    <w:rsid w:val="008A5A7E"/>
    <w:rsid w:val="008A5F8E"/>
    <w:rsid w:val="008A6376"/>
    <w:rsid w:val="008A6840"/>
    <w:rsid w:val="008A68B9"/>
    <w:rsid w:val="008A6A61"/>
    <w:rsid w:val="008A6BFF"/>
    <w:rsid w:val="008A6ECC"/>
    <w:rsid w:val="008A6F4C"/>
    <w:rsid w:val="008A707A"/>
    <w:rsid w:val="008A7423"/>
    <w:rsid w:val="008A745F"/>
    <w:rsid w:val="008A74F3"/>
    <w:rsid w:val="008B017C"/>
    <w:rsid w:val="008B0203"/>
    <w:rsid w:val="008B047A"/>
    <w:rsid w:val="008B077B"/>
    <w:rsid w:val="008B0A9A"/>
    <w:rsid w:val="008B0AEC"/>
    <w:rsid w:val="008B0CDA"/>
    <w:rsid w:val="008B1A12"/>
    <w:rsid w:val="008B1BFB"/>
    <w:rsid w:val="008B1D76"/>
    <w:rsid w:val="008B2529"/>
    <w:rsid w:val="008B2A9D"/>
    <w:rsid w:val="008B30A9"/>
    <w:rsid w:val="008B3AED"/>
    <w:rsid w:val="008B43AD"/>
    <w:rsid w:val="008B43E1"/>
    <w:rsid w:val="008B4798"/>
    <w:rsid w:val="008B4956"/>
    <w:rsid w:val="008B4A57"/>
    <w:rsid w:val="008B5599"/>
    <w:rsid w:val="008B60AB"/>
    <w:rsid w:val="008B6884"/>
    <w:rsid w:val="008B697F"/>
    <w:rsid w:val="008B6C7E"/>
    <w:rsid w:val="008B6DDB"/>
    <w:rsid w:val="008B6E1B"/>
    <w:rsid w:val="008B71AB"/>
    <w:rsid w:val="008B73FA"/>
    <w:rsid w:val="008B74D9"/>
    <w:rsid w:val="008B7759"/>
    <w:rsid w:val="008B7C99"/>
    <w:rsid w:val="008B7D50"/>
    <w:rsid w:val="008C0129"/>
    <w:rsid w:val="008C08CD"/>
    <w:rsid w:val="008C091A"/>
    <w:rsid w:val="008C0B10"/>
    <w:rsid w:val="008C0B31"/>
    <w:rsid w:val="008C1098"/>
    <w:rsid w:val="008C1BC5"/>
    <w:rsid w:val="008C1C2C"/>
    <w:rsid w:val="008C2345"/>
    <w:rsid w:val="008C2C69"/>
    <w:rsid w:val="008C2F3C"/>
    <w:rsid w:val="008C32E0"/>
    <w:rsid w:val="008C33ED"/>
    <w:rsid w:val="008C3844"/>
    <w:rsid w:val="008C388C"/>
    <w:rsid w:val="008C4333"/>
    <w:rsid w:val="008C4A60"/>
    <w:rsid w:val="008C5A14"/>
    <w:rsid w:val="008C5B0F"/>
    <w:rsid w:val="008C5BC3"/>
    <w:rsid w:val="008C61A1"/>
    <w:rsid w:val="008C654A"/>
    <w:rsid w:val="008C6D6F"/>
    <w:rsid w:val="008C7786"/>
    <w:rsid w:val="008D0075"/>
    <w:rsid w:val="008D027C"/>
    <w:rsid w:val="008D0ADA"/>
    <w:rsid w:val="008D0F43"/>
    <w:rsid w:val="008D1266"/>
    <w:rsid w:val="008D1935"/>
    <w:rsid w:val="008D1F1F"/>
    <w:rsid w:val="008D1FDF"/>
    <w:rsid w:val="008D2F42"/>
    <w:rsid w:val="008D3723"/>
    <w:rsid w:val="008D3ED7"/>
    <w:rsid w:val="008D41FA"/>
    <w:rsid w:val="008D44C7"/>
    <w:rsid w:val="008D49F8"/>
    <w:rsid w:val="008D4AB4"/>
    <w:rsid w:val="008D4D0A"/>
    <w:rsid w:val="008D5301"/>
    <w:rsid w:val="008D5342"/>
    <w:rsid w:val="008D53A4"/>
    <w:rsid w:val="008D53AD"/>
    <w:rsid w:val="008D6124"/>
    <w:rsid w:val="008D62DF"/>
    <w:rsid w:val="008D67C7"/>
    <w:rsid w:val="008D7183"/>
    <w:rsid w:val="008D7BFA"/>
    <w:rsid w:val="008D7C78"/>
    <w:rsid w:val="008D7F41"/>
    <w:rsid w:val="008E001E"/>
    <w:rsid w:val="008E056A"/>
    <w:rsid w:val="008E06AE"/>
    <w:rsid w:val="008E0859"/>
    <w:rsid w:val="008E0F24"/>
    <w:rsid w:val="008E0FA2"/>
    <w:rsid w:val="008E2293"/>
    <w:rsid w:val="008E26EB"/>
    <w:rsid w:val="008E2751"/>
    <w:rsid w:val="008E27C5"/>
    <w:rsid w:val="008E27DB"/>
    <w:rsid w:val="008E2945"/>
    <w:rsid w:val="008E2962"/>
    <w:rsid w:val="008E29AA"/>
    <w:rsid w:val="008E31DB"/>
    <w:rsid w:val="008E3AFA"/>
    <w:rsid w:val="008E3BF4"/>
    <w:rsid w:val="008E3D65"/>
    <w:rsid w:val="008E4076"/>
    <w:rsid w:val="008E4422"/>
    <w:rsid w:val="008E45CB"/>
    <w:rsid w:val="008E483E"/>
    <w:rsid w:val="008E4A0E"/>
    <w:rsid w:val="008E4C42"/>
    <w:rsid w:val="008E56F9"/>
    <w:rsid w:val="008E5841"/>
    <w:rsid w:val="008E5B7F"/>
    <w:rsid w:val="008E602F"/>
    <w:rsid w:val="008E61DC"/>
    <w:rsid w:val="008E61F7"/>
    <w:rsid w:val="008E7073"/>
    <w:rsid w:val="008E70CC"/>
    <w:rsid w:val="008E74B9"/>
    <w:rsid w:val="008E78EA"/>
    <w:rsid w:val="008F0374"/>
    <w:rsid w:val="008F0529"/>
    <w:rsid w:val="008F07CD"/>
    <w:rsid w:val="008F0C42"/>
    <w:rsid w:val="008F0D86"/>
    <w:rsid w:val="008F0F03"/>
    <w:rsid w:val="008F1560"/>
    <w:rsid w:val="008F17FA"/>
    <w:rsid w:val="008F1CB5"/>
    <w:rsid w:val="008F1DDF"/>
    <w:rsid w:val="008F223F"/>
    <w:rsid w:val="008F276C"/>
    <w:rsid w:val="008F2850"/>
    <w:rsid w:val="008F297B"/>
    <w:rsid w:val="008F29E8"/>
    <w:rsid w:val="008F338F"/>
    <w:rsid w:val="008F401F"/>
    <w:rsid w:val="008F48A6"/>
    <w:rsid w:val="008F4E18"/>
    <w:rsid w:val="008F4F63"/>
    <w:rsid w:val="008F5276"/>
    <w:rsid w:val="008F57EE"/>
    <w:rsid w:val="008F6B5F"/>
    <w:rsid w:val="008F6C42"/>
    <w:rsid w:val="008F703E"/>
    <w:rsid w:val="008F772F"/>
    <w:rsid w:val="008F7760"/>
    <w:rsid w:val="008F7BC4"/>
    <w:rsid w:val="008F7C00"/>
    <w:rsid w:val="0090006B"/>
    <w:rsid w:val="00900E18"/>
    <w:rsid w:val="0090117E"/>
    <w:rsid w:val="00901D51"/>
    <w:rsid w:val="0090215A"/>
    <w:rsid w:val="009034C6"/>
    <w:rsid w:val="00903A28"/>
    <w:rsid w:val="00903AA8"/>
    <w:rsid w:val="00903C9C"/>
    <w:rsid w:val="00903D92"/>
    <w:rsid w:val="00903FB5"/>
    <w:rsid w:val="00904429"/>
    <w:rsid w:val="00904E82"/>
    <w:rsid w:val="00905092"/>
    <w:rsid w:val="00905B6B"/>
    <w:rsid w:val="009062BE"/>
    <w:rsid w:val="009063C3"/>
    <w:rsid w:val="00906944"/>
    <w:rsid w:val="0090694A"/>
    <w:rsid w:val="009076C6"/>
    <w:rsid w:val="009078FC"/>
    <w:rsid w:val="00910869"/>
    <w:rsid w:val="00910B20"/>
    <w:rsid w:val="00910B2B"/>
    <w:rsid w:val="00910C9F"/>
    <w:rsid w:val="009111EB"/>
    <w:rsid w:val="009117B2"/>
    <w:rsid w:val="00911A47"/>
    <w:rsid w:val="0091250A"/>
    <w:rsid w:val="00912B3F"/>
    <w:rsid w:val="00912D32"/>
    <w:rsid w:val="00912E91"/>
    <w:rsid w:val="009133EA"/>
    <w:rsid w:val="00913431"/>
    <w:rsid w:val="00913559"/>
    <w:rsid w:val="009135D6"/>
    <w:rsid w:val="00913AAD"/>
    <w:rsid w:val="00913B7E"/>
    <w:rsid w:val="009149DF"/>
    <w:rsid w:val="00914BC5"/>
    <w:rsid w:val="0091501F"/>
    <w:rsid w:val="0091511B"/>
    <w:rsid w:val="0091553A"/>
    <w:rsid w:val="00916561"/>
    <w:rsid w:val="00916D28"/>
    <w:rsid w:val="00916E54"/>
    <w:rsid w:val="00917027"/>
    <w:rsid w:val="00917070"/>
    <w:rsid w:val="0091736E"/>
    <w:rsid w:val="009175A3"/>
    <w:rsid w:val="00917901"/>
    <w:rsid w:val="00917B02"/>
    <w:rsid w:val="00917C5C"/>
    <w:rsid w:val="009202CF"/>
    <w:rsid w:val="0092033A"/>
    <w:rsid w:val="00920C04"/>
    <w:rsid w:val="00920CE7"/>
    <w:rsid w:val="009219CB"/>
    <w:rsid w:val="00921FB7"/>
    <w:rsid w:val="0092228F"/>
    <w:rsid w:val="00922816"/>
    <w:rsid w:val="0092293D"/>
    <w:rsid w:val="00922D14"/>
    <w:rsid w:val="00923488"/>
    <w:rsid w:val="00923B51"/>
    <w:rsid w:val="00923D5A"/>
    <w:rsid w:val="00923DA7"/>
    <w:rsid w:val="00923E0C"/>
    <w:rsid w:val="0092407F"/>
    <w:rsid w:val="00924290"/>
    <w:rsid w:val="0092491F"/>
    <w:rsid w:val="00924C57"/>
    <w:rsid w:val="00925023"/>
    <w:rsid w:val="0092515F"/>
    <w:rsid w:val="009252D3"/>
    <w:rsid w:val="0092571D"/>
    <w:rsid w:val="009259BA"/>
    <w:rsid w:val="00925C3E"/>
    <w:rsid w:val="00925E7F"/>
    <w:rsid w:val="00927449"/>
    <w:rsid w:val="009275DC"/>
    <w:rsid w:val="0092793E"/>
    <w:rsid w:val="00930034"/>
    <w:rsid w:val="00930332"/>
    <w:rsid w:val="009303B4"/>
    <w:rsid w:val="00930881"/>
    <w:rsid w:val="00930B3D"/>
    <w:rsid w:val="009312F8"/>
    <w:rsid w:val="009314F1"/>
    <w:rsid w:val="00931D04"/>
    <w:rsid w:val="00931D3E"/>
    <w:rsid w:val="00931ECB"/>
    <w:rsid w:val="00931F7D"/>
    <w:rsid w:val="00932352"/>
    <w:rsid w:val="00932460"/>
    <w:rsid w:val="0093279B"/>
    <w:rsid w:val="00932901"/>
    <w:rsid w:val="00932DAC"/>
    <w:rsid w:val="009336AB"/>
    <w:rsid w:val="00933716"/>
    <w:rsid w:val="00933B20"/>
    <w:rsid w:val="009340E3"/>
    <w:rsid w:val="0093442A"/>
    <w:rsid w:val="009347C4"/>
    <w:rsid w:val="00935BDA"/>
    <w:rsid w:val="00936D12"/>
    <w:rsid w:val="00937E88"/>
    <w:rsid w:val="00937F7E"/>
    <w:rsid w:val="00941567"/>
    <w:rsid w:val="00941A96"/>
    <w:rsid w:val="00941ED0"/>
    <w:rsid w:val="00942149"/>
    <w:rsid w:val="009421C4"/>
    <w:rsid w:val="009421FB"/>
    <w:rsid w:val="00942B44"/>
    <w:rsid w:val="0094317E"/>
    <w:rsid w:val="0094372F"/>
    <w:rsid w:val="00943DE6"/>
    <w:rsid w:val="00943FC2"/>
    <w:rsid w:val="00944641"/>
    <w:rsid w:val="00944AB5"/>
    <w:rsid w:val="009458D3"/>
    <w:rsid w:val="00945B41"/>
    <w:rsid w:val="00946ADF"/>
    <w:rsid w:val="00947ED5"/>
    <w:rsid w:val="0095006D"/>
    <w:rsid w:val="00950312"/>
    <w:rsid w:val="00950626"/>
    <w:rsid w:val="00950BA5"/>
    <w:rsid w:val="00950FA1"/>
    <w:rsid w:val="00951453"/>
    <w:rsid w:val="00951B50"/>
    <w:rsid w:val="00952134"/>
    <w:rsid w:val="0095237B"/>
    <w:rsid w:val="00952968"/>
    <w:rsid w:val="00952DC6"/>
    <w:rsid w:val="00953B52"/>
    <w:rsid w:val="00953F52"/>
    <w:rsid w:val="00954035"/>
    <w:rsid w:val="0095416F"/>
    <w:rsid w:val="0095449F"/>
    <w:rsid w:val="00954607"/>
    <w:rsid w:val="009551BD"/>
    <w:rsid w:val="0095538F"/>
    <w:rsid w:val="00955659"/>
    <w:rsid w:val="00955AF6"/>
    <w:rsid w:val="00955BFF"/>
    <w:rsid w:val="00955F22"/>
    <w:rsid w:val="009564A7"/>
    <w:rsid w:val="009568F0"/>
    <w:rsid w:val="00956A60"/>
    <w:rsid w:val="00956C79"/>
    <w:rsid w:val="009570DC"/>
    <w:rsid w:val="00957397"/>
    <w:rsid w:val="00957A0B"/>
    <w:rsid w:val="00957B19"/>
    <w:rsid w:val="00957B4D"/>
    <w:rsid w:val="00957EC3"/>
    <w:rsid w:val="00960175"/>
    <w:rsid w:val="00960545"/>
    <w:rsid w:val="0096070E"/>
    <w:rsid w:val="00960F3C"/>
    <w:rsid w:val="00961634"/>
    <w:rsid w:val="00961850"/>
    <w:rsid w:val="00961953"/>
    <w:rsid w:val="009619B1"/>
    <w:rsid w:val="00961C06"/>
    <w:rsid w:val="009621D7"/>
    <w:rsid w:val="00962437"/>
    <w:rsid w:val="0096265D"/>
    <w:rsid w:val="009626E3"/>
    <w:rsid w:val="009627BC"/>
    <w:rsid w:val="00962A25"/>
    <w:rsid w:val="00962B0A"/>
    <w:rsid w:val="0096300E"/>
    <w:rsid w:val="0096354A"/>
    <w:rsid w:val="00963A8B"/>
    <w:rsid w:val="00963EB5"/>
    <w:rsid w:val="009653D6"/>
    <w:rsid w:val="009654D5"/>
    <w:rsid w:val="0096575E"/>
    <w:rsid w:val="00966104"/>
    <w:rsid w:val="009661B5"/>
    <w:rsid w:val="009663E7"/>
    <w:rsid w:val="009663FB"/>
    <w:rsid w:val="009666A7"/>
    <w:rsid w:val="00966F22"/>
    <w:rsid w:val="009673A4"/>
    <w:rsid w:val="009673C7"/>
    <w:rsid w:val="0097048D"/>
    <w:rsid w:val="00971D2B"/>
    <w:rsid w:val="00971EBE"/>
    <w:rsid w:val="009720BA"/>
    <w:rsid w:val="009722AD"/>
    <w:rsid w:val="00972718"/>
    <w:rsid w:val="0097292C"/>
    <w:rsid w:val="00972ACD"/>
    <w:rsid w:val="00973029"/>
    <w:rsid w:val="009735A4"/>
    <w:rsid w:val="009735AF"/>
    <w:rsid w:val="00973A2F"/>
    <w:rsid w:val="00973C43"/>
    <w:rsid w:val="00973E7F"/>
    <w:rsid w:val="00974626"/>
    <w:rsid w:val="00974A21"/>
    <w:rsid w:val="00974B8B"/>
    <w:rsid w:val="00974D15"/>
    <w:rsid w:val="009752DD"/>
    <w:rsid w:val="00976100"/>
    <w:rsid w:val="009765E6"/>
    <w:rsid w:val="009767D1"/>
    <w:rsid w:val="00976DCC"/>
    <w:rsid w:val="0097701A"/>
    <w:rsid w:val="0097753A"/>
    <w:rsid w:val="0097758E"/>
    <w:rsid w:val="00977987"/>
    <w:rsid w:val="00977BE7"/>
    <w:rsid w:val="00977E3C"/>
    <w:rsid w:val="0098068B"/>
    <w:rsid w:val="009807E9"/>
    <w:rsid w:val="00981A5A"/>
    <w:rsid w:val="00981ABE"/>
    <w:rsid w:val="00981FCE"/>
    <w:rsid w:val="009821C9"/>
    <w:rsid w:val="00982217"/>
    <w:rsid w:val="009825A8"/>
    <w:rsid w:val="00982625"/>
    <w:rsid w:val="0098264C"/>
    <w:rsid w:val="00982755"/>
    <w:rsid w:val="009833BD"/>
    <w:rsid w:val="009833D8"/>
    <w:rsid w:val="0098360C"/>
    <w:rsid w:val="009837B2"/>
    <w:rsid w:val="00984757"/>
    <w:rsid w:val="0098483B"/>
    <w:rsid w:val="009849C2"/>
    <w:rsid w:val="00984A5F"/>
    <w:rsid w:val="00984ECC"/>
    <w:rsid w:val="00984ED7"/>
    <w:rsid w:val="00985327"/>
    <w:rsid w:val="009853DD"/>
    <w:rsid w:val="00985412"/>
    <w:rsid w:val="00985750"/>
    <w:rsid w:val="00985B25"/>
    <w:rsid w:val="00985BA1"/>
    <w:rsid w:val="00985D4E"/>
    <w:rsid w:val="00985D7C"/>
    <w:rsid w:val="0098606D"/>
    <w:rsid w:val="00987336"/>
    <w:rsid w:val="0099099C"/>
    <w:rsid w:val="00990D47"/>
    <w:rsid w:val="00991064"/>
    <w:rsid w:val="0099162B"/>
    <w:rsid w:val="00991698"/>
    <w:rsid w:val="00991919"/>
    <w:rsid w:val="00991A4B"/>
    <w:rsid w:val="00991E2D"/>
    <w:rsid w:val="00992333"/>
    <w:rsid w:val="009928A8"/>
    <w:rsid w:val="00993EB5"/>
    <w:rsid w:val="00994D5B"/>
    <w:rsid w:val="00994DA0"/>
    <w:rsid w:val="00994EE7"/>
    <w:rsid w:val="0099583D"/>
    <w:rsid w:val="00996091"/>
    <w:rsid w:val="009964BB"/>
    <w:rsid w:val="00996772"/>
    <w:rsid w:val="00996796"/>
    <w:rsid w:val="00996BD9"/>
    <w:rsid w:val="0099702B"/>
    <w:rsid w:val="00997543"/>
    <w:rsid w:val="009975B6"/>
    <w:rsid w:val="009A0230"/>
    <w:rsid w:val="009A0875"/>
    <w:rsid w:val="009A12C3"/>
    <w:rsid w:val="009A135F"/>
    <w:rsid w:val="009A1471"/>
    <w:rsid w:val="009A16D2"/>
    <w:rsid w:val="009A1C51"/>
    <w:rsid w:val="009A1C94"/>
    <w:rsid w:val="009A2AA7"/>
    <w:rsid w:val="009A2F32"/>
    <w:rsid w:val="009A3432"/>
    <w:rsid w:val="009A3A58"/>
    <w:rsid w:val="009A43F3"/>
    <w:rsid w:val="009A44F4"/>
    <w:rsid w:val="009A46BF"/>
    <w:rsid w:val="009A485C"/>
    <w:rsid w:val="009A4FAE"/>
    <w:rsid w:val="009A56EF"/>
    <w:rsid w:val="009A5E72"/>
    <w:rsid w:val="009A64A5"/>
    <w:rsid w:val="009A707D"/>
    <w:rsid w:val="009A7505"/>
    <w:rsid w:val="009A7982"/>
    <w:rsid w:val="009A798A"/>
    <w:rsid w:val="009B072A"/>
    <w:rsid w:val="009B09C5"/>
    <w:rsid w:val="009B0A7F"/>
    <w:rsid w:val="009B0FEE"/>
    <w:rsid w:val="009B1989"/>
    <w:rsid w:val="009B1A66"/>
    <w:rsid w:val="009B1ABE"/>
    <w:rsid w:val="009B1F7A"/>
    <w:rsid w:val="009B207F"/>
    <w:rsid w:val="009B2C54"/>
    <w:rsid w:val="009B3C16"/>
    <w:rsid w:val="009B3C6E"/>
    <w:rsid w:val="009B4266"/>
    <w:rsid w:val="009B448E"/>
    <w:rsid w:val="009B479E"/>
    <w:rsid w:val="009B4CA5"/>
    <w:rsid w:val="009B4D61"/>
    <w:rsid w:val="009B4E42"/>
    <w:rsid w:val="009B5789"/>
    <w:rsid w:val="009B61AF"/>
    <w:rsid w:val="009B6849"/>
    <w:rsid w:val="009B6B51"/>
    <w:rsid w:val="009B770F"/>
    <w:rsid w:val="009B7E27"/>
    <w:rsid w:val="009B7E4A"/>
    <w:rsid w:val="009C02E6"/>
    <w:rsid w:val="009C03E8"/>
    <w:rsid w:val="009C0BBC"/>
    <w:rsid w:val="009C0D7C"/>
    <w:rsid w:val="009C15AC"/>
    <w:rsid w:val="009C1F54"/>
    <w:rsid w:val="009C21BA"/>
    <w:rsid w:val="009C21BF"/>
    <w:rsid w:val="009C234A"/>
    <w:rsid w:val="009C2556"/>
    <w:rsid w:val="009C2911"/>
    <w:rsid w:val="009C2B41"/>
    <w:rsid w:val="009C2E5D"/>
    <w:rsid w:val="009C34AF"/>
    <w:rsid w:val="009C36EC"/>
    <w:rsid w:val="009C39CA"/>
    <w:rsid w:val="009C39D7"/>
    <w:rsid w:val="009C3CE0"/>
    <w:rsid w:val="009C4D21"/>
    <w:rsid w:val="009C51A4"/>
    <w:rsid w:val="009C551F"/>
    <w:rsid w:val="009C5C71"/>
    <w:rsid w:val="009C602B"/>
    <w:rsid w:val="009C62CC"/>
    <w:rsid w:val="009C64F6"/>
    <w:rsid w:val="009C66EC"/>
    <w:rsid w:val="009C6E5F"/>
    <w:rsid w:val="009C745B"/>
    <w:rsid w:val="009C793F"/>
    <w:rsid w:val="009C7A7F"/>
    <w:rsid w:val="009C7BF0"/>
    <w:rsid w:val="009D034E"/>
    <w:rsid w:val="009D0485"/>
    <w:rsid w:val="009D0C34"/>
    <w:rsid w:val="009D139A"/>
    <w:rsid w:val="009D164B"/>
    <w:rsid w:val="009D16ED"/>
    <w:rsid w:val="009D171F"/>
    <w:rsid w:val="009D176B"/>
    <w:rsid w:val="009D1B23"/>
    <w:rsid w:val="009D2CD7"/>
    <w:rsid w:val="009D3B03"/>
    <w:rsid w:val="009D416D"/>
    <w:rsid w:val="009D4ABE"/>
    <w:rsid w:val="009D5495"/>
    <w:rsid w:val="009D570D"/>
    <w:rsid w:val="009D58C3"/>
    <w:rsid w:val="009D599A"/>
    <w:rsid w:val="009D5B5C"/>
    <w:rsid w:val="009D5E49"/>
    <w:rsid w:val="009D67BA"/>
    <w:rsid w:val="009D6E49"/>
    <w:rsid w:val="009D718D"/>
    <w:rsid w:val="009D7455"/>
    <w:rsid w:val="009D769A"/>
    <w:rsid w:val="009D7C2E"/>
    <w:rsid w:val="009D7F16"/>
    <w:rsid w:val="009E02F5"/>
    <w:rsid w:val="009E062B"/>
    <w:rsid w:val="009E064C"/>
    <w:rsid w:val="009E0A95"/>
    <w:rsid w:val="009E0C27"/>
    <w:rsid w:val="009E0D8B"/>
    <w:rsid w:val="009E11E8"/>
    <w:rsid w:val="009E13AC"/>
    <w:rsid w:val="009E13FE"/>
    <w:rsid w:val="009E2304"/>
    <w:rsid w:val="009E276E"/>
    <w:rsid w:val="009E2F8A"/>
    <w:rsid w:val="009E33F3"/>
    <w:rsid w:val="009E3BE9"/>
    <w:rsid w:val="009E3D4E"/>
    <w:rsid w:val="009E40AF"/>
    <w:rsid w:val="009E4292"/>
    <w:rsid w:val="009E4C9A"/>
    <w:rsid w:val="009E5177"/>
    <w:rsid w:val="009E5719"/>
    <w:rsid w:val="009E578C"/>
    <w:rsid w:val="009E70E3"/>
    <w:rsid w:val="009E74F4"/>
    <w:rsid w:val="009E79C9"/>
    <w:rsid w:val="009E7BA0"/>
    <w:rsid w:val="009F000B"/>
    <w:rsid w:val="009F0A13"/>
    <w:rsid w:val="009F1806"/>
    <w:rsid w:val="009F21FF"/>
    <w:rsid w:val="009F28C3"/>
    <w:rsid w:val="009F28DC"/>
    <w:rsid w:val="009F3185"/>
    <w:rsid w:val="009F37E1"/>
    <w:rsid w:val="009F3914"/>
    <w:rsid w:val="009F3A26"/>
    <w:rsid w:val="009F3BDF"/>
    <w:rsid w:val="009F42CC"/>
    <w:rsid w:val="009F4435"/>
    <w:rsid w:val="009F443F"/>
    <w:rsid w:val="009F4812"/>
    <w:rsid w:val="009F4863"/>
    <w:rsid w:val="009F490D"/>
    <w:rsid w:val="009F4B9F"/>
    <w:rsid w:val="009F516C"/>
    <w:rsid w:val="009F544F"/>
    <w:rsid w:val="009F55B9"/>
    <w:rsid w:val="009F58CC"/>
    <w:rsid w:val="009F58CE"/>
    <w:rsid w:val="009F5B80"/>
    <w:rsid w:val="009F65E2"/>
    <w:rsid w:val="009F6677"/>
    <w:rsid w:val="009F6CEB"/>
    <w:rsid w:val="009F7009"/>
    <w:rsid w:val="009F70A9"/>
    <w:rsid w:val="009F7B59"/>
    <w:rsid w:val="00A0009F"/>
    <w:rsid w:val="00A009DA"/>
    <w:rsid w:val="00A00DC9"/>
    <w:rsid w:val="00A00E9C"/>
    <w:rsid w:val="00A01053"/>
    <w:rsid w:val="00A015DC"/>
    <w:rsid w:val="00A020E2"/>
    <w:rsid w:val="00A0380C"/>
    <w:rsid w:val="00A03A87"/>
    <w:rsid w:val="00A044F3"/>
    <w:rsid w:val="00A04C02"/>
    <w:rsid w:val="00A05227"/>
    <w:rsid w:val="00A058E2"/>
    <w:rsid w:val="00A05973"/>
    <w:rsid w:val="00A05A0B"/>
    <w:rsid w:val="00A05AC4"/>
    <w:rsid w:val="00A062CA"/>
    <w:rsid w:val="00A06980"/>
    <w:rsid w:val="00A077FA"/>
    <w:rsid w:val="00A07E26"/>
    <w:rsid w:val="00A10933"/>
    <w:rsid w:val="00A10A68"/>
    <w:rsid w:val="00A1137A"/>
    <w:rsid w:val="00A11782"/>
    <w:rsid w:val="00A11B16"/>
    <w:rsid w:val="00A12F39"/>
    <w:rsid w:val="00A12F52"/>
    <w:rsid w:val="00A1338E"/>
    <w:rsid w:val="00A13664"/>
    <w:rsid w:val="00A143C7"/>
    <w:rsid w:val="00A146F8"/>
    <w:rsid w:val="00A14CA7"/>
    <w:rsid w:val="00A14FF8"/>
    <w:rsid w:val="00A154AE"/>
    <w:rsid w:val="00A155EF"/>
    <w:rsid w:val="00A15AEB"/>
    <w:rsid w:val="00A15D9F"/>
    <w:rsid w:val="00A16020"/>
    <w:rsid w:val="00A160F2"/>
    <w:rsid w:val="00A16164"/>
    <w:rsid w:val="00A162E9"/>
    <w:rsid w:val="00A16743"/>
    <w:rsid w:val="00A16C16"/>
    <w:rsid w:val="00A1710C"/>
    <w:rsid w:val="00A173A5"/>
    <w:rsid w:val="00A17A67"/>
    <w:rsid w:val="00A20023"/>
    <w:rsid w:val="00A20124"/>
    <w:rsid w:val="00A20578"/>
    <w:rsid w:val="00A21526"/>
    <w:rsid w:val="00A217D7"/>
    <w:rsid w:val="00A21A89"/>
    <w:rsid w:val="00A21CA6"/>
    <w:rsid w:val="00A22443"/>
    <w:rsid w:val="00A22755"/>
    <w:rsid w:val="00A22C8F"/>
    <w:rsid w:val="00A23748"/>
    <w:rsid w:val="00A23D88"/>
    <w:rsid w:val="00A23EE2"/>
    <w:rsid w:val="00A24023"/>
    <w:rsid w:val="00A2423A"/>
    <w:rsid w:val="00A246C5"/>
    <w:rsid w:val="00A24D25"/>
    <w:rsid w:val="00A24EC4"/>
    <w:rsid w:val="00A24F2D"/>
    <w:rsid w:val="00A24F40"/>
    <w:rsid w:val="00A25186"/>
    <w:rsid w:val="00A25296"/>
    <w:rsid w:val="00A256C8"/>
    <w:rsid w:val="00A258F4"/>
    <w:rsid w:val="00A25B96"/>
    <w:rsid w:val="00A26212"/>
    <w:rsid w:val="00A26661"/>
    <w:rsid w:val="00A266F7"/>
    <w:rsid w:val="00A26982"/>
    <w:rsid w:val="00A26EF6"/>
    <w:rsid w:val="00A27335"/>
    <w:rsid w:val="00A27AE9"/>
    <w:rsid w:val="00A27F00"/>
    <w:rsid w:val="00A30009"/>
    <w:rsid w:val="00A30013"/>
    <w:rsid w:val="00A32B7B"/>
    <w:rsid w:val="00A32D99"/>
    <w:rsid w:val="00A32F6B"/>
    <w:rsid w:val="00A33833"/>
    <w:rsid w:val="00A33D92"/>
    <w:rsid w:val="00A346C2"/>
    <w:rsid w:val="00A34F85"/>
    <w:rsid w:val="00A3563A"/>
    <w:rsid w:val="00A366A0"/>
    <w:rsid w:val="00A36745"/>
    <w:rsid w:val="00A3697B"/>
    <w:rsid w:val="00A36BCE"/>
    <w:rsid w:val="00A36C30"/>
    <w:rsid w:val="00A36E47"/>
    <w:rsid w:val="00A37419"/>
    <w:rsid w:val="00A37985"/>
    <w:rsid w:val="00A37DC2"/>
    <w:rsid w:val="00A401FB"/>
    <w:rsid w:val="00A40405"/>
    <w:rsid w:val="00A40DB2"/>
    <w:rsid w:val="00A41014"/>
    <w:rsid w:val="00A41071"/>
    <w:rsid w:val="00A42490"/>
    <w:rsid w:val="00A42F0A"/>
    <w:rsid w:val="00A42FD2"/>
    <w:rsid w:val="00A43CC4"/>
    <w:rsid w:val="00A43D44"/>
    <w:rsid w:val="00A4406D"/>
    <w:rsid w:val="00A447E1"/>
    <w:rsid w:val="00A44908"/>
    <w:rsid w:val="00A44C9C"/>
    <w:rsid w:val="00A44F6E"/>
    <w:rsid w:val="00A45DB5"/>
    <w:rsid w:val="00A468C0"/>
    <w:rsid w:val="00A46F0B"/>
    <w:rsid w:val="00A46FAA"/>
    <w:rsid w:val="00A477E7"/>
    <w:rsid w:val="00A479DB"/>
    <w:rsid w:val="00A50731"/>
    <w:rsid w:val="00A50B80"/>
    <w:rsid w:val="00A50BF6"/>
    <w:rsid w:val="00A50E61"/>
    <w:rsid w:val="00A51947"/>
    <w:rsid w:val="00A519FB"/>
    <w:rsid w:val="00A52540"/>
    <w:rsid w:val="00A525B6"/>
    <w:rsid w:val="00A52F77"/>
    <w:rsid w:val="00A533AF"/>
    <w:rsid w:val="00A53418"/>
    <w:rsid w:val="00A53988"/>
    <w:rsid w:val="00A54245"/>
    <w:rsid w:val="00A54494"/>
    <w:rsid w:val="00A54701"/>
    <w:rsid w:val="00A5481C"/>
    <w:rsid w:val="00A54E1F"/>
    <w:rsid w:val="00A551CB"/>
    <w:rsid w:val="00A552FE"/>
    <w:rsid w:val="00A5604A"/>
    <w:rsid w:val="00A56114"/>
    <w:rsid w:val="00A57650"/>
    <w:rsid w:val="00A607B9"/>
    <w:rsid w:val="00A60806"/>
    <w:rsid w:val="00A6081A"/>
    <w:rsid w:val="00A61360"/>
    <w:rsid w:val="00A617A1"/>
    <w:rsid w:val="00A61FE2"/>
    <w:rsid w:val="00A6370E"/>
    <w:rsid w:val="00A63933"/>
    <w:rsid w:val="00A6401D"/>
    <w:rsid w:val="00A6402B"/>
    <w:rsid w:val="00A6412B"/>
    <w:rsid w:val="00A64A36"/>
    <w:rsid w:val="00A65009"/>
    <w:rsid w:val="00A6565E"/>
    <w:rsid w:val="00A663C5"/>
    <w:rsid w:val="00A66D54"/>
    <w:rsid w:val="00A67385"/>
    <w:rsid w:val="00A67B63"/>
    <w:rsid w:val="00A67D41"/>
    <w:rsid w:val="00A67E6E"/>
    <w:rsid w:val="00A707D0"/>
    <w:rsid w:val="00A711BC"/>
    <w:rsid w:val="00A718B4"/>
    <w:rsid w:val="00A71BF6"/>
    <w:rsid w:val="00A72519"/>
    <w:rsid w:val="00A72706"/>
    <w:rsid w:val="00A728E4"/>
    <w:rsid w:val="00A72A6A"/>
    <w:rsid w:val="00A72A8F"/>
    <w:rsid w:val="00A72C92"/>
    <w:rsid w:val="00A73281"/>
    <w:rsid w:val="00A733F0"/>
    <w:rsid w:val="00A73671"/>
    <w:rsid w:val="00A73B21"/>
    <w:rsid w:val="00A74063"/>
    <w:rsid w:val="00A74565"/>
    <w:rsid w:val="00A74DA4"/>
    <w:rsid w:val="00A75602"/>
    <w:rsid w:val="00A759F1"/>
    <w:rsid w:val="00A75A8C"/>
    <w:rsid w:val="00A75DE3"/>
    <w:rsid w:val="00A75EEE"/>
    <w:rsid w:val="00A76726"/>
    <w:rsid w:val="00A775F0"/>
    <w:rsid w:val="00A80087"/>
    <w:rsid w:val="00A8044E"/>
    <w:rsid w:val="00A80914"/>
    <w:rsid w:val="00A80CA8"/>
    <w:rsid w:val="00A81674"/>
    <w:rsid w:val="00A81A50"/>
    <w:rsid w:val="00A81B28"/>
    <w:rsid w:val="00A81E8E"/>
    <w:rsid w:val="00A820CA"/>
    <w:rsid w:val="00A82491"/>
    <w:rsid w:val="00A8254E"/>
    <w:rsid w:val="00A82646"/>
    <w:rsid w:val="00A82B9E"/>
    <w:rsid w:val="00A8309B"/>
    <w:rsid w:val="00A831CB"/>
    <w:rsid w:val="00A840F7"/>
    <w:rsid w:val="00A842DF"/>
    <w:rsid w:val="00A84E2D"/>
    <w:rsid w:val="00A84F34"/>
    <w:rsid w:val="00A852CE"/>
    <w:rsid w:val="00A85340"/>
    <w:rsid w:val="00A8599D"/>
    <w:rsid w:val="00A85A51"/>
    <w:rsid w:val="00A86244"/>
    <w:rsid w:val="00A86397"/>
    <w:rsid w:val="00A86458"/>
    <w:rsid w:val="00A8686F"/>
    <w:rsid w:val="00A86A9D"/>
    <w:rsid w:val="00A86B20"/>
    <w:rsid w:val="00A86C5B"/>
    <w:rsid w:val="00A870D0"/>
    <w:rsid w:val="00A874D9"/>
    <w:rsid w:val="00A879A6"/>
    <w:rsid w:val="00A87D57"/>
    <w:rsid w:val="00A87FAA"/>
    <w:rsid w:val="00A90422"/>
    <w:rsid w:val="00A9065D"/>
    <w:rsid w:val="00A90E47"/>
    <w:rsid w:val="00A90E58"/>
    <w:rsid w:val="00A90EB0"/>
    <w:rsid w:val="00A90ED3"/>
    <w:rsid w:val="00A91320"/>
    <w:rsid w:val="00A91631"/>
    <w:rsid w:val="00A921BB"/>
    <w:rsid w:val="00A92211"/>
    <w:rsid w:val="00A93B68"/>
    <w:rsid w:val="00A93CCA"/>
    <w:rsid w:val="00A9440E"/>
    <w:rsid w:val="00A945E5"/>
    <w:rsid w:val="00A959D5"/>
    <w:rsid w:val="00A96689"/>
    <w:rsid w:val="00A9673E"/>
    <w:rsid w:val="00A96E39"/>
    <w:rsid w:val="00A96E6A"/>
    <w:rsid w:val="00A97A0B"/>
    <w:rsid w:val="00AA0157"/>
    <w:rsid w:val="00AA0229"/>
    <w:rsid w:val="00AA03C7"/>
    <w:rsid w:val="00AA086B"/>
    <w:rsid w:val="00AA0C2E"/>
    <w:rsid w:val="00AA0E49"/>
    <w:rsid w:val="00AA0F5C"/>
    <w:rsid w:val="00AA100E"/>
    <w:rsid w:val="00AA11CC"/>
    <w:rsid w:val="00AA188A"/>
    <w:rsid w:val="00AA1C1F"/>
    <w:rsid w:val="00AA1FB8"/>
    <w:rsid w:val="00AA202D"/>
    <w:rsid w:val="00AA32B8"/>
    <w:rsid w:val="00AA37B7"/>
    <w:rsid w:val="00AA3B45"/>
    <w:rsid w:val="00AA3C6F"/>
    <w:rsid w:val="00AA3D14"/>
    <w:rsid w:val="00AA451C"/>
    <w:rsid w:val="00AA4903"/>
    <w:rsid w:val="00AA50E7"/>
    <w:rsid w:val="00AA56EE"/>
    <w:rsid w:val="00AA5C09"/>
    <w:rsid w:val="00AA60CE"/>
    <w:rsid w:val="00AA7012"/>
    <w:rsid w:val="00AA7320"/>
    <w:rsid w:val="00AA7798"/>
    <w:rsid w:val="00AB01D3"/>
    <w:rsid w:val="00AB1204"/>
    <w:rsid w:val="00AB13A0"/>
    <w:rsid w:val="00AB1865"/>
    <w:rsid w:val="00AB1EBE"/>
    <w:rsid w:val="00AB1ED5"/>
    <w:rsid w:val="00AB1FEF"/>
    <w:rsid w:val="00AB20DE"/>
    <w:rsid w:val="00AB2461"/>
    <w:rsid w:val="00AB2C74"/>
    <w:rsid w:val="00AB346D"/>
    <w:rsid w:val="00AB3D2E"/>
    <w:rsid w:val="00AB44BD"/>
    <w:rsid w:val="00AB4B81"/>
    <w:rsid w:val="00AB507B"/>
    <w:rsid w:val="00AB52B2"/>
    <w:rsid w:val="00AB592F"/>
    <w:rsid w:val="00AB5B58"/>
    <w:rsid w:val="00AB5BA7"/>
    <w:rsid w:val="00AB5E67"/>
    <w:rsid w:val="00AB5FE9"/>
    <w:rsid w:val="00AB5FF6"/>
    <w:rsid w:val="00AB615F"/>
    <w:rsid w:val="00AB633D"/>
    <w:rsid w:val="00AB6409"/>
    <w:rsid w:val="00AB643E"/>
    <w:rsid w:val="00AB69AA"/>
    <w:rsid w:val="00AB738D"/>
    <w:rsid w:val="00AB7BA2"/>
    <w:rsid w:val="00AB7BC7"/>
    <w:rsid w:val="00AB7E78"/>
    <w:rsid w:val="00AC0121"/>
    <w:rsid w:val="00AC01BC"/>
    <w:rsid w:val="00AC1506"/>
    <w:rsid w:val="00AC1600"/>
    <w:rsid w:val="00AC21E4"/>
    <w:rsid w:val="00AC251C"/>
    <w:rsid w:val="00AC2639"/>
    <w:rsid w:val="00AC264F"/>
    <w:rsid w:val="00AC2EA5"/>
    <w:rsid w:val="00AC3849"/>
    <w:rsid w:val="00AC39A5"/>
    <w:rsid w:val="00AC3C92"/>
    <w:rsid w:val="00AC3D3F"/>
    <w:rsid w:val="00AC45C7"/>
    <w:rsid w:val="00AC4841"/>
    <w:rsid w:val="00AC4AF5"/>
    <w:rsid w:val="00AC4B9A"/>
    <w:rsid w:val="00AC4BD7"/>
    <w:rsid w:val="00AC4FCD"/>
    <w:rsid w:val="00AC5874"/>
    <w:rsid w:val="00AC644D"/>
    <w:rsid w:val="00AC6899"/>
    <w:rsid w:val="00AC6B37"/>
    <w:rsid w:val="00AC6DE0"/>
    <w:rsid w:val="00AC6E57"/>
    <w:rsid w:val="00AC72E8"/>
    <w:rsid w:val="00AC770F"/>
    <w:rsid w:val="00AC7FAB"/>
    <w:rsid w:val="00AD0082"/>
    <w:rsid w:val="00AD067F"/>
    <w:rsid w:val="00AD0744"/>
    <w:rsid w:val="00AD0810"/>
    <w:rsid w:val="00AD0C8D"/>
    <w:rsid w:val="00AD0F27"/>
    <w:rsid w:val="00AD0F35"/>
    <w:rsid w:val="00AD1C48"/>
    <w:rsid w:val="00AD2383"/>
    <w:rsid w:val="00AD2397"/>
    <w:rsid w:val="00AD33D4"/>
    <w:rsid w:val="00AD3654"/>
    <w:rsid w:val="00AD37E5"/>
    <w:rsid w:val="00AD458F"/>
    <w:rsid w:val="00AD4719"/>
    <w:rsid w:val="00AD4A33"/>
    <w:rsid w:val="00AD4CB1"/>
    <w:rsid w:val="00AD4D6D"/>
    <w:rsid w:val="00AD543B"/>
    <w:rsid w:val="00AD56C2"/>
    <w:rsid w:val="00AD5782"/>
    <w:rsid w:val="00AD5A91"/>
    <w:rsid w:val="00AD5BB4"/>
    <w:rsid w:val="00AD5BDA"/>
    <w:rsid w:val="00AD6572"/>
    <w:rsid w:val="00AD695C"/>
    <w:rsid w:val="00AD6E9A"/>
    <w:rsid w:val="00AD6F7E"/>
    <w:rsid w:val="00AD7B47"/>
    <w:rsid w:val="00AE00A2"/>
    <w:rsid w:val="00AE01B4"/>
    <w:rsid w:val="00AE2F2F"/>
    <w:rsid w:val="00AE315C"/>
    <w:rsid w:val="00AE317C"/>
    <w:rsid w:val="00AE37AD"/>
    <w:rsid w:val="00AE3BB3"/>
    <w:rsid w:val="00AE440E"/>
    <w:rsid w:val="00AE49D5"/>
    <w:rsid w:val="00AE4C2A"/>
    <w:rsid w:val="00AE611B"/>
    <w:rsid w:val="00AE62F4"/>
    <w:rsid w:val="00AE6502"/>
    <w:rsid w:val="00AE6569"/>
    <w:rsid w:val="00AE65C5"/>
    <w:rsid w:val="00AE6F9D"/>
    <w:rsid w:val="00AE6FB2"/>
    <w:rsid w:val="00AF0AF4"/>
    <w:rsid w:val="00AF0F86"/>
    <w:rsid w:val="00AF1052"/>
    <w:rsid w:val="00AF19F3"/>
    <w:rsid w:val="00AF1B1C"/>
    <w:rsid w:val="00AF1F85"/>
    <w:rsid w:val="00AF231A"/>
    <w:rsid w:val="00AF2546"/>
    <w:rsid w:val="00AF2B4E"/>
    <w:rsid w:val="00AF2D6E"/>
    <w:rsid w:val="00AF35F4"/>
    <w:rsid w:val="00AF3DBB"/>
    <w:rsid w:val="00AF4004"/>
    <w:rsid w:val="00AF4618"/>
    <w:rsid w:val="00AF4AE7"/>
    <w:rsid w:val="00AF4F3E"/>
    <w:rsid w:val="00AF52B1"/>
    <w:rsid w:val="00AF54BA"/>
    <w:rsid w:val="00AF6229"/>
    <w:rsid w:val="00AF6318"/>
    <w:rsid w:val="00AF65D0"/>
    <w:rsid w:val="00AF6693"/>
    <w:rsid w:val="00AF685C"/>
    <w:rsid w:val="00AF70E9"/>
    <w:rsid w:val="00AF72E5"/>
    <w:rsid w:val="00AF73A2"/>
    <w:rsid w:val="00AF75E5"/>
    <w:rsid w:val="00AF7CC4"/>
    <w:rsid w:val="00B0063E"/>
    <w:rsid w:val="00B007DB"/>
    <w:rsid w:val="00B00DF5"/>
    <w:rsid w:val="00B00F63"/>
    <w:rsid w:val="00B01C6B"/>
    <w:rsid w:val="00B022AF"/>
    <w:rsid w:val="00B02E73"/>
    <w:rsid w:val="00B033D0"/>
    <w:rsid w:val="00B03AE5"/>
    <w:rsid w:val="00B03E0B"/>
    <w:rsid w:val="00B045A9"/>
    <w:rsid w:val="00B045D6"/>
    <w:rsid w:val="00B054C6"/>
    <w:rsid w:val="00B0551C"/>
    <w:rsid w:val="00B05EEE"/>
    <w:rsid w:val="00B05F30"/>
    <w:rsid w:val="00B06394"/>
    <w:rsid w:val="00B06A1B"/>
    <w:rsid w:val="00B0755C"/>
    <w:rsid w:val="00B076C5"/>
    <w:rsid w:val="00B07EAE"/>
    <w:rsid w:val="00B1064F"/>
    <w:rsid w:val="00B1077D"/>
    <w:rsid w:val="00B10811"/>
    <w:rsid w:val="00B10B7E"/>
    <w:rsid w:val="00B11423"/>
    <w:rsid w:val="00B11841"/>
    <w:rsid w:val="00B11BD0"/>
    <w:rsid w:val="00B11EB2"/>
    <w:rsid w:val="00B120F9"/>
    <w:rsid w:val="00B12D75"/>
    <w:rsid w:val="00B13E18"/>
    <w:rsid w:val="00B13E3A"/>
    <w:rsid w:val="00B14537"/>
    <w:rsid w:val="00B1471D"/>
    <w:rsid w:val="00B1487F"/>
    <w:rsid w:val="00B15319"/>
    <w:rsid w:val="00B1620D"/>
    <w:rsid w:val="00B17327"/>
    <w:rsid w:val="00B201D3"/>
    <w:rsid w:val="00B203E6"/>
    <w:rsid w:val="00B2049A"/>
    <w:rsid w:val="00B204A5"/>
    <w:rsid w:val="00B20722"/>
    <w:rsid w:val="00B2083B"/>
    <w:rsid w:val="00B20F9F"/>
    <w:rsid w:val="00B210B8"/>
    <w:rsid w:val="00B21A3A"/>
    <w:rsid w:val="00B21B4C"/>
    <w:rsid w:val="00B21CD4"/>
    <w:rsid w:val="00B21F41"/>
    <w:rsid w:val="00B2217D"/>
    <w:rsid w:val="00B2225A"/>
    <w:rsid w:val="00B23003"/>
    <w:rsid w:val="00B23535"/>
    <w:rsid w:val="00B2381E"/>
    <w:rsid w:val="00B2395D"/>
    <w:rsid w:val="00B23FF2"/>
    <w:rsid w:val="00B24748"/>
    <w:rsid w:val="00B252E6"/>
    <w:rsid w:val="00B25D5E"/>
    <w:rsid w:val="00B26057"/>
    <w:rsid w:val="00B26076"/>
    <w:rsid w:val="00B2616C"/>
    <w:rsid w:val="00B26189"/>
    <w:rsid w:val="00B261A0"/>
    <w:rsid w:val="00B26275"/>
    <w:rsid w:val="00B26763"/>
    <w:rsid w:val="00B2756A"/>
    <w:rsid w:val="00B275C8"/>
    <w:rsid w:val="00B27640"/>
    <w:rsid w:val="00B27BC7"/>
    <w:rsid w:val="00B30207"/>
    <w:rsid w:val="00B304F3"/>
    <w:rsid w:val="00B3093D"/>
    <w:rsid w:val="00B30A97"/>
    <w:rsid w:val="00B30B61"/>
    <w:rsid w:val="00B30BE1"/>
    <w:rsid w:val="00B30DE5"/>
    <w:rsid w:val="00B30FA2"/>
    <w:rsid w:val="00B311F7"/>
    <w:rsid w:val="00B31327"/>
    <w:rsid w:val="00B31A53"/>
    <w:rsid w:val="00B32064"/>
    <w:rsid w:val="00B32148"/>
    <w:rsid w:val="00B32292"/>
    <w:rsid w:val="00B329E6"/>
    <w:rsid w:val="00B335A3"/>
    <w:rsid w:val="00B33B21"/>
    <w:rsid w:val="00B34982"/>
    <w:rsid w:val="00B354A7"/>
    <w:rsid w:val="00B354FB"/>
    <w:rsid w:val="00B35623"/>
    <w:rsid w:val="00B359C7"/>
    <w:rsid w:val="00B3605C"/>
    <w:rsid w:val="00B3710D"/>
    <w:rsid w:val="00B3766D"/>
    <w:rsid w:val="00B37BF1"/>
    <w:rsid w:val="00B37FD3"/>
    <w:rsid w:val="00B4032C"/>
    <w:rsid w:val="00B40EC9"/>
    <w:rsid w:val="00B40FD8"/>
    <w:rsid w:val="00B4230B"/>
    <w:rsid w:val="00B42371"/>
    <w:rsid w:val="00B4274D"/>
    <w:rsid w:val="00B435E7"/>
    <w:rsid w:val="00B4394B"/>
    <w:rsid w:val="00B43CB7"/>
    <w:rsid w:val="00B444E7"/>
    <w:rsid w:val="00B445A4"/>
    <w:rsid w:val="00B4474E"/>
    <w:rsid w:val="00B44835"/>
    <w:rsid w:val="00B4537E"/>
    <w:rsid w:val="00B456E1"/>
    <w:rsid w:val="00B459F6"/>
    <w:rsid w:val="00B45A0C"/>
    <w:rsid w:val="00B45DB9"/>
    <w:rsid w:val="00B4629B"/>
    <w:rsid w:val="00B46A75"/>
    <w:rsid w:val="00B47047"/>
    <w:rsid w:val="00B47360"/>
    <w:rsid w:val="00B4749A"/>
    <w:rsid w:val="00B474DB"/>
    <w:rsid w:val="00B475B6"/>
    <w:rsid w:val="00B47610"/>
    <w:rsid w:val="00B47FC4"/>
    <w:rsid w:val="00B501FD"/>
    <w:rsid w:val="00B5047C"/>
    <w:rsid w:val="00B50681"/>
    <w:rsid w:val="00B50AF5"/>
    <w:rsid w:val="00B50D09"/>
    <w:rsid w:val="00B50E45"/>
    <w:rsid w:val="00B50FE6"/>
    <w:rsid w:val="00B51371"/>
    <w:rsid w:val="00B5147F"/>
    <w:rsid w:val="00B51DF4"/>
    <w:rsid w:val="00B53789"/>
    <w:rsid w:val="00B539B4"/>
    <w:rsid w:val="00B542CF"/>
    <w:rsid w:val="00B54633"/>
    <w:rsid w:val="00B548D0"/>
    <w:rsid w:val="00B5492C"/>
    <w:rsid w:val="00B554CE"/>
    <w:rsid w:val="00B561F0"/>
    <w:rsid w:val="00B569C3"/>
    <w:rsid w:val="00B569E9"/>
    <w:rsid w:val="00B571C1"/>
    <w:rsid w:val="00B572FE"/>
    <w:rsid w:val="00B57421"/>
    <w:rsid w:val="00B5786B"/>
    <w:rsid w:val="00B57C32"/>
    <w:rsid w:val="00B605B9"/>
    <w:rsid w:val="00B60CC7"/>
    <w:rsid w:val="00B60F4A"/>
    <w:rsid w:val="00B61259"/>
    <w:rsid w:val="00B61400"/>
    <w:rsid w:val="00B616D7"/>
    <w:rsid w:val="00B6190D"/>
    <w:rsid w:val="00B61A9E"/>
    <w:rsid w:val="00B61BC9"/>
    <w:rsid w:val="00B62A28"/>
    <w:rsid w:val="00B62B31"/>
    <w:rsid w:val="00B62C29"/>
    <w:rsid w:val="00B62C35"/>
    <w:rsid w:val="00B639B6"/>
    <w:rsid w:val="00B63ED8"/>
    <w:rsid w:val="00B645A9"/>
    <w:rsid w:val="00B64C68"/>
    <w:rsid w:val="00B6508B"/>
    <w:rsid w:val="00B650EF"/>
    <w:rsid w:val="00B6552C"/>
    <w:rsid w:val="00B65661"/>
    <w:rsid w:val="00B6589C"/>
    <w:rsid w:val="00B65AEC"/>
    <w:rsid w:val="00B65D72"/>
    <w:rsid w:val="00B65F5E"/>
    <w:rsid w:val="00B66490"/>
    <w:rsid w:val="00B66BA5"/>
    <w:rsid w:val="00B67807"/>
    <w:rsid w:val="00B70774"/>
    <w:rsid w:val="00B70A98"/>
    <w:rsid w:val="00B70B3E"/>
    <w:rsid w:val="00B71D75"/>
    <w:rsid w:val="00B7235D"/>
    <w:rsid w:val="00B728A0"/>
    <w:rsid w:val="00B73063"/>
    <w:rsid w:val="00B7315B"/>
    <w:rsid w:val="00B73643"/>
    <w:rsid w:val="00B73735"/>
    <w:rsid w:val="00B73FF2"/>
    <w:rsid w:val="00B7404E"/>
    <w:rsid w:val="00B7503C"/>
    <w:rsid w:val="00B75448"/>
    <w:rsid w:val="00B754A9"/>
    <w:rsid w:val="00B75DDB"/>
    <w:rsid w:val="00B75E04"/>
    <w:rsid w:val="00B761F0"/>
    <w:rsid w:val="00B76273"/>
    <w:rsid w:val="00B77098"/>
    <w:rsid w:val="00B77939"/>
    <w:rsid w:val="00B77BF9"/>
    <w:rsid w:val="00B77F00"/>
    <w:rsid w:val="00B801A1"/>
    <w:rsid w:val="00B801E8"/>
    <w:rsid w:val="00B808CA"/>
    <w:rsid w:val="00B80B05"/>
    <w:rsid w:val="00B80C6F"/>
    <w:rsid w:val="00B80D0E"/>
    <w:rsid w:val="00B80F06"/>
    <w:rsid w:val="00B81340"/>
    <w:rsid w:val="00B813BB"/>
    <w:rsid w:val="00B818EB"/>
    <w:rsid w:val="00B819EA"/>
    <w:rsid w:val="00B81CCA"/>
    <w:rsid w:val="00B81EC5"/>
    <w:rsid w:val="00B82678"/>
    <w:rsid w:val="00B8289F"/>
    <w:rsid w:val="00B836A3"/>
    <w:rsid w:val="00B837DC"/>
    <w:rsid w:val="00B843EB"/>
    <w:rsid w:val="00B844C0"/>
    <w:rsid w:val="00B84B3B"/>
    <w:rsid w:val="00B84B90"/>
    <w:rsid w:val="00B85DD9"/>
    <w:rsid w:val="00B86435"/>
    <w:rsid w:val="00B86715"/>
    <w:rsid w:val="00B86A34"/>
    <w:rsid w:val="00B870D0"/>
    <w:rsid w:val="00B878C2"/>
    <w:rsid w:val="00B90098"/>
    <w:rsid w:val="00B90334"/>
    <w:rsid w:val="00B90F3E"/>
    <w:rsid w:val="00B92614"/>
    <w:rsid w:val="00B927A9"/>
    <w:rsid w:val="00B92DBE"/>
    <w:rsid w:val="00B930FA"/>
    <w:rsid w:val="00B935B5"/>
    <w:rsid w:val="00B93890"/>
    <w:rsid w:val="00B93B3C"/>
    <w:rsid w:val="00B9414A"/>
    <w:rsid w:val="00B942CD"/>
    <w:rsid w:val="00B94651"/>
    <w:rsid w:val="00B946D0"/>
    <w:rsid w:val="00B94A7D"/>
    <w:rsid w:val="00B94AEE"/>
    <w:rsid w:val="00B95A4A"/>
    <w:rsid w:val="00B95D11"/>
    <w:rsid w:val="00B96978"/>
    <w:rsid w:val="00B97246"/>
    <w:rsid w:val="00B977DB"/>
    <w:rsid w:val="00B97FF7"/>
    <w:rsid w:val="00BA06FB"/>
    <w:rsid w:val="00BA0836"/>
    <w:rsid w:val="00BA08B3"/>
    <w:rsid w:val="00BA0932"/>
    <w:rsid w:val="00BA095F"/>
    <w:rsid w:val="00BA0E58"/>
    <w:rsid w:val="00BA0F9B"/>
    <w:rsid w:val="00BA11AD"/>
    <w:rsid w:val="00BA132E"/>
    <w:rsid w:val="00BA17F5"/>
    <w:rsid w:val="00BA1BA6"/>
    <w:rsid w:val="00BA26D9"/>
    <w:rsid w:val="00BA2B8E"/>
    <w:rsid w:val="00BA39CA"/>
    <w:rsid w:val="00BA3A5B"/>
    <w:rsid w:val="00BA3B1A"/>
    <w:rsid w:val="00BA3C08"/>
    <w:rsid w:val="00BA4D58"/>
    <w:rsid w:val="00BA51FA"/>
    <w:rsid w:val="00BA52A7"/>
    <w:rsid w:val="00BA54F8"/>
    <w:rsid w:val="00BA57FB"/>
    <w:rsid w:val="00BA5CA8"/>
    <w:rsid w:val="00BA6BAC"/>
    <w:rsid w:val="00BA6DC7"/>
    <w:rsid w:val="00BA7217"/>
    <w:rsid w:val="00BA73CD"/>
    <w:rsid w:val="00BA74FA"/>
    <w:rsid w:val="00BA7A2D"/>
    <w:rsid w:val="00BA7E36"/>
    <w:rsid w:val="00BB0B76"/>
    <w:rsid w:val="00BB0EF5"/>
    <w:rsid w:val="00BB1915"/>
    <w:rsid w:val="00BB19AB"/>
    <w:rsid w:val="00BB2073"/>
    <w:rsid w:val="00BB2196"/>
    <w:rsid w:val="00BB2909"/>
    <w:rsid w:val="00BB2A16"/>
    <w:rsid w:val="00BB2D18"/>
    <w:rsid w:val="00BB2D75"/>
    <w:rsid w:val="00BB2F58"/>
    <w:rsid w:val="00BB2F7C"/>
    <w:rsid w:val="00BB33B7"/>
    <w:rsid w:val="00BB354E"/>
    <w:rsid w:val="00BB3A21"/>
    <w:rsid w:val="00BB49D7"/>
    <w:rsid w:val="00BB4E3B"/>
    <w:rsid w:val="00BB517A"/>
    <w:rsid w:val="00BB55F5"/>
    <w:rsid w:val="00BB5924"/>
    <w:rsid w:val="00BB5978"/>
    <w:rsid w:val="00BB5A84"/>
    <w:rsid w:val="00BB62E1"/>
    <w:rsid w:val="00BB6549"/>
    <w:rsid w:val="00BB6B4F"/>
    <w:rsid w:val="00BB6C4F"/>
    <w:rsid w:val="00BB6D58"/>
    <w:rsid w:val="00BC01B9"/>
    <w:rsid w:val="00BC0DCB"/>
    <w:rsid w:val="00BC11A1"/>
    <w:rsid w:val="00BC24B8"/>
    <w:rsid w:val="00BC279C"/>
    <w:rsid w:val="00BC2831"/>
    <w:rsid w:val="00BC30DF"/>
    <w:rsid w:val="00BC34C0"/>
    <w:rsid w:val="00BC3625"/>
    <w:rsid w:val="00BC3BF7"/>
    <w:rsid w:val="00BC4210"/>
    <w:rsid w:val="00BC44D5"/>
    <w:rsid w:val="00BC46C6"/>
    <w:rsid w:val="00BC4811"/>
    <w:rsid w:val="00BC48EA"/>
    <w:rsid w:val="00BC492F"/>
    <w:rsid w:val="00BC4A2E"/>
    <w:rsid w:val="00BC50A6"/>
    <w:rsid w:val="00BC50CA"/>
    <w:rsid w:val="00BC5A3C"/>
    <w:rsid w:val="00BC5C19"/>
    <w:rsid w:val="00BC5E5F"/>
    <w:rsid w:val="00BC655D"/>
    <w:rsid w:val="00BC678D"/>
    <w:rsid w:val="00BC697A"/>
    <w:rsid w:val="00BC6990"/>
    <w:rsid w:val="00BC69D8"/>
    <w:rsid w:val="00BC6C89"/>
    <w:rsid w:val="00BC6F93"/>
    <w:rsid w:val="00BC7248"/>
    <w:rsid w:val="00BC7356"/>
    <w:rsid w:val="00BC79CB"/>
    <w:rsid w:val="00BC7A77"/>
    <w:rsid w:val="00BD029F"/>
    <w:rsid w:val="00BD0BF7"/>
    <w:rsid w:val="00BD0C96"/>
    <w:rsid w:val="00BD0FE2"/>
    <w:rsid w:val="00BD1C5B"/>
    <w:rsid w:val="00BD202A"/>
    <w:rsid w:val="00BD232B"/>
    <w:rsid w:val="00BD2FF4"/>
    <w:rsid w:val="00BD3B25"/>
    <w:rsid w:val="00BD3FCD"/>
    <w:rsid w:val="00BD40BC"/>
    <w:rsid w:val="00BD41C1"/>
    <w:rsid w:val="00BD4A9C"/>
    <w:rsid w:val="00BD4CB4"/>
    <w:rsid w:val="00BD4D7B"/>
    <w:rsid w:val="00BD54E7"/>
    <w:rsid w:val="00BD56B6"/>
    <w:rsid w:val="00BD5855"/>
    <w:rsid w:val="00BD5968"/>
    <w:rsid w:val="00BD6408"/>
    <w:rsid w:val="00BD6585"/>
    <w:rsid w:val="00BD7007"/>
    <w:rsid w:val="00BD71DC"/>
    <w:rsid w:val="00BD770E"/>
    <w:rsid w:val="00BD7AB2"/>
    <w:rsid w:val="00BD7B07"/>
    <w:rsid w:val="00BE0E6E"/>
    <w:rsid w:val="00BE1051"/>
    <w:rsid w:val="00BE1183"/>
    <w:rsid w:val="00BE13F9"/>
    <w:rsid w:val="00BE1836"/>
    <w:rsid w:val="00BE18ED"/>
    <w:rsid w:val="00BE1C37"/>
    <w:rsid w:val="00BE1D53"/>
    <w:rsid w:val="00BE1DD1"/>
    <w:rsid w:val="00BE1DD4"/>
    <w:rsid w:val="00BE1F62"/>
    <w:rsid w:val="00BE2746"/>
    <w:rsid w:val="00BE27D3"/>
    <w:rsid w:val="00BE2FB4"/>
    <w:rsid w:val="00BE31ED"/>
    <w:rsid w:val="00BE35B2"/>
    <w:rsid w:val="00BE3913"/>
    <w:rsid w:val="00BE4D4F"/>
    <w:rsid w:val="00BE546F"/>
    <w:rsid w:val="00BE56C3"/>
    <w:rsid w:val="00BE5FA5"/>
    <w:rsid w:val="00BE628A"/>
    <w:rsid w:val="00BE6777"/>
    <w:rsid w:val="00BE6C14"/>
    <w:rsid w:val="00BE6CF6"/>
    <w:rsid w:val="00BE6DB8"/>
    <w:rsid w:val="00BE6FA8"/>
    <w:rsid w:val="00BE749B"/>
    <w:rsid w:val="00BE7C94"/>
    <w:rsid w:val="00BF005B"/>
    <w:rsid w:val="00BF0B70"/>
    <w:rsid w:val="00BF1308"/>
    <w:rsid w:val="00BF1A44"/>
    <w:rsid w:val="00BF1F37"/>
    <w:rsid w:val="00BF20BE"/>
    <w:rsid w:val="00BF20CD"/>
    <w:rsid w:val="00BF230D"/>
    <w:rsid w:val="00BF25BD"/>
    <w:rsid w:val="00BF268E"/>
    <w:rsid w:val="00BF28C6"/>
    <w:rsid w:val="00BF3722"/>
    <w:rsid w:val="00BF3987"/>
    <w:rsid w:val="00BF535C"/>
    <w:rsid w:val="00BF5954"/>
    <w:rsid w:val="00BF59C7"/>
    <w:rsid w:val="00BF62B1"/>
    <w:rsid w:val="00BF6637"/>
    <w:rsid w:val="00BF6A62"/>
    <w:rsid w:val="00BF7A61"/>
    <w:rsid w:val="00C0018F"/>
    <w:rsid w:val="00C001BA"/>
    <w:rsid w:val="00C00830"/>
    <w:rsid w:val="00C01155"/>
    <w:rsid w:val="00C02802"/>
    <w:rsid w:val="00C02BB7"/>
    <w:rsid w:val="00C03328"/>
    <w:rsid w:val="00C03386"/>
    <w:rsid w:val="00C038C4"/>
    <w:rsid w:val="00C03C42"/>
    <w:rsid w:val="00C03F60"/>
    <w:rsid w:val="00C042F1"/>
    <w:rsid w:val="00C0486A"/>
    <w:rsid w:val="00C049C8"/>
    <w:rsid w:val="00C05201"/>
    <w:rsid w:val="00C0561E"/>
    <w:rsid w:val="00C057CC"/>
    <w:rsid w:val="00C05F8B"/>
    <w:rsid w:val="00C060A4"/>
    <w:rsid w:val="00C064A4"/>
    <w:rsid w:val="00C06546"/>
    <w:rsid w:val="00C06F54"/>
    <w:rsid w:val="00C105CA"/>
    <w:rsid w:val="00C106F4"/>
    <w:rsid w:val="00C110C3"/>
    <w:rsid w:val="00C114C0"/>
    <w:rsid w:val="00C11500"/>
    <w:rsid w:val="00C11713"/>
    <w:rsid w:val="00C11E8C"/>
    <w:rsid w:val="00C11FC3"/>
    <w:rsid w:val="00C1283B"/>
    <w:rsid w:val="00C12990"/>
    <w:rsid w:val="00C135BD"/>
    <w:rsid w:val="00C13640"/>
    <w:rsid w:val="00C1369C"/>
    <w:rsid w:val="00C139AC"/>
    <w:rsid w:val="00C13BB9"/>
    <w:rsid w:val="00C13CEF"/>
    <w:rsid w:val="00C1422B"/>
    <w:rsid w:val="00C14B5E"/>
    <w:rsid w:val="00C14D74"/>
    <w:rsid w:val="00C14E7E"/>
    <w:rsid w:val="00C153E0"/>
    <w:rsid w:val="00C15493"/>
    <w:rsid w:val="00C15E54"/>
    <w:rsid w:val="00C16594"/>
    <w:rsid w:val="00C1692E"/>
    <w:rsid w:val="00C16A23"/>
    <w:rsid w:val="00C16B8B"/>
    <w:rsid w:val="00C17472"/>
    <w:rsid w:val="00C2015A"/>
    <w:rsid w:val="00C204E2"/>
    <w:rsid w:val="00C20C10"/>
    <w:rsid w:val="00C20EC9"/>
    <w:rsid w:val="00C212C6"/>
    <w:rsid w:val="00C21B62"/>
    <w:rsid w:val="00C21E61"/>
    <w:rsid w:val="00C21EC0"/>
    <w:rsid w:val="00C22139"/>
    <w:rsid w:val="00C2257B"/>
    <w:rsid w:val="00C2307B"/>
    <w:rsid w:val="00C2332E"/>
    <w:rsid w:val="00C23BDB"/>
    <w:rsid w:val="00C23DB2"/>
    <w:rsid w:val="00C24314"/>
    <w:rsid w:val="00C244C3"/>
    <w:rsid w:val="00C2459E"/>
    <w:rsid w:val="00C245D8"/>
    <w:rsid w:val="00C24627"/>
    <w:rsid w:val="00C248CC"/>
    <w:rsid w:val="00C2492A"/>
    <w:rsid w:val="00C24D5F"/>
    <w:rsid w:val="00C24F14"/>
    <w:rsid w:val="00C25026"/>
    <w:rsid w:val="00C25385"/>
    <w:rsid w:val="00C25954"/>
    <w:rsid w:val="00C25D82"/>
    <w:rsid w:val="00C26360"/>
    <w:rsid w:val="00C2667C"/>
    <w:rsid w:val="00C26E49"/>
    <w:rsid w:val="00C27BD1"/>
    <w:rsid w:val="00C27CB0"/>
    <w:rsid w:val="00C27ECD"/>
    <w:rsid w:val="00C27F12"/>
    <w:rsid w:val="00C301C8"/>
    <w:rsid w:val="00C30548"/>
    <w:rsid w:val="00C30556"/>
    <w:rsid w:val="00C30647"/>
    <w:rsid w:val="00C30BBA"/>
    <w:rsid w:val="00C30DE9"/>
    <w:rsid w:val="00C30E11"/>
    <w:rsid w:val="00C310A6"/>
    <w:rsid w:val="00C31442"/>
    <w:rsid w:val="00C319BB"/>
    <w:rsid w:val="00C31BA7"/>
    <w:rsid w:val="00C31BD9"/>
    <w:rsid w:val="00C32014"/>
    <w:rsid w:val="00C322B4"/>
    <w:rsid w:val="00C3297C"/>
    <w:rsid w:val="00C33020"/>
    <w:rsid w:val="00C331DE"/>
    <w:rsid w:val="00C334FB"/>
    <w:rsid w:val="00C339D9"/>
    <w:rsid w:val="00C34A03"/>
    <w:rsid w:val="00C34B5F"/>
    <w:rsid w:val="00C357F9"/>
    <w:rsid w:val="00C35F85"/>
    <w:rsid w:val="00C36327"/>
    <w:rsid w:val="00C36640"/>
    <w:rsid w:val="00C366F5"/>
    <w:rsid w:val="00C36A4A"/>
    <w:rsid w:val="00C36C45"/>
    <w:rsid w:val="00C372AC"/>
    <w:rsid w:val="00C37358"/>
    <w:rsid w:val="00C376A5"/>
    <w:rsid w:val="00C37A23"/>
    <w:rsid w:val="00C37BF2"/>
    <w:rsid w:val="00C37E2E"/>
    <w:rsid w:val="00C400B2"/>
    <w:rsid w:val="00C4050F"/>
    <w:rsid w:val="00C4059B"/>
    <w:rsid w:val="00C408ED"/>
    <w:rsid w:val="00C41339"/>
    <w:rsid w:val="00C4186C"/>
    <w:rsid w:val="00C42A1B"/>
    <w:rsid w:val="00C42B23"/>
    <w:rsid w:val="00C431E5"/>
    <w:rsid w:val="00C43672"/>
    <w:rsid w:val="00C43DB3"/>
    <w:rsid w:val="00C4407E"/>
    <w:rsid w:val="00C44114"/>
    <w:rsid w:val="00C441DC"/>
    <w:rsid w:val="00C442F2"/>
    <w:rsid w:val="00C445CF"/>
    <w:rsid w:val="00C4498E"/>
    <w:rsid w:val="00C44DDC"/>
    <w:rsid w:val="00C453FC"/>
    <w:rsid w:val="00C45C0A"/>
    <w:rsid w:val="00C4630D"/>
    <w:rsid w:val="00C46C58"/>
    <w:rsid w:val="00C47113"/>
    <w:rsid w:val="00C47785"/>
    <w:rsid w:val="00C478A4"/>
    <w:rsid w:val="00C47D9A"/>
    <w:rsid w:val="00C47FC2"/>
    <w:rsid w:val="00C50252"/>
    <w:rsid w:val="00C50414"/>
    <w:rsid w:val="00C50577"/>
    <w:rsid w:val="00C50891"/>
    <w:rsid w:val="00C50B5D"/>
    <w:rsid w:val="00C50FC9"/>
    <w:rsid w:val="00C5111D"/>
    <w:rsid w:val="00C51954"/>
    <w:rsid w:val="00C51BF5"/>
    <w:rsid w:val="00C52916"/>
    <w:rsid w:val="00C5476F"/>
    <w:rsid w:val="00C549F7"/>
    <w:rsid w:val="00C55BCE"/>
    <w:rsid w:val="00C55E68"/>
    <w:rsid w:val="00C56008"/>
    <w:rsid w:val="00C56688"/>
    <w:rsid w:val="00C5671C"/>
    <w:rsid w:val="00C569ED"/>
    <w:rsid w:val="00C56C1A"/>
    <w:rsid w:val="00C56D79"/>
    <w:rsid w:val="00C56F80"/>
    <w:rsid w:val="00C57249"/>
    <w:rsid w:val="00C572F5"/>
    <w:rsid w:val="00C5753A"/>
    <w:rsid w:val="00C57558"/>
    <w:rsid w:val="00C57A55"/>
    <w:rsid w:val="00C57E0F"/>
    <w:rsid w:val="00C57FF5"/>
    <w:rsid w:val="00C6053D"/>
    <w:rsid w:val="00C60816"/>
    <w:rsid w:val="00C60B17"/>
    <w:rsid w:val="00C60CB3"/>
    <w:rsid w:val="00C61388"/>
    <w:rsid w:val="00C6162E"/>
    <w:rsid w:val="00C616B2"/>
    <w:rsid w:val="00C61758"/>
    <w:rsid w:val="00C61B4E"/>
    <w:rsid w:val="00C62B0D"/>
    <w:rsid w:val="00C63B38"/>
    <w:rsid w:val="00C63C08"/>
    <w:rsid w:val="00C63CC6"/>
    <w:rsid w:val="00C64C61"/>
    <w:rsid w:val="00C65562"/>
    <w:rsid w:val="00C655B0"/>
    <w:rsid w:val="00C65C26"/>
    <w:rsid w:val="00C65DA8"/>
    <w:rsid w:val="00C66104"/>
    <w:rsid w:val="00C668D4"/>
    <w:rsid w:val="00C669DC"/>
    <w:rsid w:val="00C66D9D"/>
    <w:rsid w:val="00C67281"/>
    <w:rsid w:val="00C67391"/>
    <w:rsid w:val="00C674B2"/>
    <w:rsid w:val="00C6759C"/>
    <w:rsid w:val="00C67AD5"/>
    <w:rsid w:val="00C7066B"/>
    <w:rsid w:val="00C70C52"/>
    <w:rsid w:val="00C70FEC"/>
    <w:rsid w:val="00C717C0"/>
    <w:rsid w:val="00C71868"/>
    <w:rsid w:val="00C7188C"/>
    <w:rsid w:val="00C71B29"/>
    <w:rsid w:val="00C71B80"/>
    <w:rsid w:val="00C71D5C"/>
    <w:rsid w:val="00C7215B"/>
    <w:rsid w:val="00C72FF6"/>
    <w:rsid w:val="00C73505"/>
    <w:rsid w:val="00C73A93"/>
    <w:rsid w:val="00C73B3B"/>
    <w:rsid w:val="00C73C43"/>
    <w:rsid w:val="00C73EBB"/>
    <w:rsid w:val="00C746D0"/>
    <w:rsid w:val="00C7496B"/>
    <w:rsid w:val="00C74B70"/>
    <w:rsid w:val="00C74D2F"/>
    <w:rsid w:val="00C76328"/>
    <w:rsid w:val="00C76397"/>
    <w:rsid w:val="00C77303"/>
    <w:rsid w:val="00C77712"/>
    <w:rsid w:val="00C80097"/>
    <w:rsid w:val="00C80251"/>
    <w:rsid w:val="00C80680"/>
    <w:rsid w:val="00C80B2A"/>
    <w:rsid w:val="00C817AF"/>
    <w:rsid w:val="00C817BE"/>
    <w:rsid w:val="00C82426"/>
    <w:rsid w:val="00C824A8"/>
    <w:rsid w:val="00C82A61"/>
    <w:rsid w:val="00C82F86"/>
    <w:rsid w:val="00C83A80"/>
    <w:rsid w:val="00C84436"/>
    <w:rsid w:val="00C84439"/>
    <w:rsid w:val="00C84639"/>
    <w:rsid w:val="00C84ECE"/>
    <w:rsid w:val="00C85203"/>
    <w:rsid w:val="00C85346"/>
    <w:rsid w:val="00C85493"/>
    <w:rsid w:val="00C85ADF"/>
    <w:rsid w:val="00C85E26"/>
    <w:rsid w:val="00C861B8"/>
    <w:rsid w:val="00C86584"/>
    <w:rsid w:val="00C8747A"/>
    <w:rsid w:val="00C902F6"/>
    <w:rsid w:val="00C9079E"/>
    <w:rsid w:val="00C90982"/>
    <w:rsid w:val="00C90A65"/>
    <w:rsid w:val="00C90CCF"/>
    <w:rsid w:val="00C9130F"/>
    <w:rsid w:val="00C919AF"/>
    <w:rsid w:val="00C91C22"/>
    <w:rsid w:val="00C91EBF"/>
    <w:rsid w:val="00C91F6C"/>
    <w:rsid w:val="00C923AF"/>
    <w:rsid w:val="00C925F3"/>
    <w:rsid w:val="00C92885"/>
    <w:rsid w:val="00C9324D"/>
    <w:rsid w:val="00C935DF"/>
    <w:rsid w:val="00C9397E"/>
    <w:rsid w:val="00C93E6D"/>
    <w:rsid w:val="00C93F0E"/>
    <w:rsid w:val="00C94117"/>
    <w:rsid w:val="00C9421F"/>
    <w:rsid w:val="00C94400"/>
    <w:rsid w:val="00C94682"/>
    <w:rsid w:val="00C94D56"/>
    <w:rsid w:val="00C952B0"/>
    <w:rsid w:val="00C95832"/>
    <w:rsid w:val="00C95F83"/>
    <w:rsid w:val="00C97239"/>
    <w:rsid w:val="00C97283"/>
    <w:rsid w:val="00CA0061"/>
    <w:rsid w:val="00CA0264"/>
    <w:rsid w:val="00CA02D0"/>
    <w:rsid w:val="00CA0310"/>
    <w:rsid w:val="00CA0CF4"/>
    <w:rsid w:val="00CA0FBC"/>
    <w:rsid w:val="00CA10A8"/>
    <w:rsid w:val="00CA1331"/>
    <w:rsid w:val="00CA1ABE"/>
    <w:rsid w:val="00CA1AE9"/>
    <w:rsid w:val="00CA2282"/>
    <w:rsid w:val="00CA2A02"/>
    <w:rsid w:val="00CA2FE5"/>
    <w:rsid w:val="00CA31D5"/>
    <w:rsid w:val="00CA37ED"/>
    <w:rsid w:val="00CA4B2C"/>
    <w:rsid w:val="00CA4EE5"/>
    <w:rsid w:val="00CA4F65"/>
    <w:rsid w:val="00CA5075"/>
    <w:rsid w:val="00CA5924"/>
    <w:rsid w:val="00CA5D22"/>
    <w:rsid w:val="00CA5E8D"/>
    <w:rsid w:val="00CA7694"/>
    <w:rsid w:val="00CA7EF3"/>
    <w:rsid w:val="00CB0552"/>
    <w:rsid w:val="00CB12F9"/>
    <w:rsid w:val="00CB13A3"/>
    <w:rsid w:val="00CB218A"/>
    <w:rsid w:val="00CB3F59"/>
    <w:rsid w:val="00CB48D0"/>
    <w:rsid w:val="00CB498E"/>
    <w:rsid w:val="00CB51B2"/>
    <w:rsid w:val="00CB538D"/>
    <w:rsid w:val="00CB539F"/>
    <w:rsid w:val="00CB5A9E"/>
    <w:rsid w:val="00CB5EB8"/>
    <w:rsid w:val="00CB6663"/>
    <w:rsid w:val="00CB6E57"/>
    <w:rsid w:val="00CB746C"/>
    <w:rsid w:val="00CB79A9"/>
    <w:rsid w:val="00CB7C93"/>
    <w:rsid w:val="00CB7CCA"/>
    <w:rsid w:val="00CC1BEC"/>
    <w:rsid w:val="00CC244C"/>
    <w:rsid w:val="00CC2526"/>
    <w:rsid w:val="00CC26A7"/>
    <w:rsid w:val="00CC2BDD"/>
    <w:rsid w:val="00CC2D1F"/>
    <w:rsid w:val="00CC32AC"/>
    <w:rsid w:val="00CC3631"/>
    <w:rsid w:val="00CC3BF0"/>
    <w:rsid w:val="00CC3CD1"/>
    <w:rsid w:val="00CC44E8"/>
    <w:rsid w:val="00CC462B"/>
    <w:rsid w:val="00CC4869"/>
    <w:rsid w:val="00CC4A96"/>
    <w:rsid w:val="00CC4E84"/>
    <w:rsid w:val="00CC59B6"/>
    <w:rsid w:val="00CC59F4"/>
    <w:rsid w:val="00CC611B"/>
    <w:rsid w:val="00CC6304"/>
    <w:rsid w:val="00CC6602"/>
    <w:rsid w:val="00CC6EE7"/>
    <w:rsid w:val="00CC75F6"/>
    <w:rsid w:val="00CC76AE"/>
    <w:rsid w:val="00CD0516"/>
    <w:rsid w:val="00CD0ED2"/>
    <w:rsid w:val="00CD14D8"/>
    <w:rsid w:val="00CD19C6"/>
    <w:rsid w:val="00CD1B3E"/>
    <w:rsid w:val="00CD22B8"/>
    <w:rsid w:val="00CD28BA"/>
    <w:rsid w:val="00CD2BC9"/>
    <w:rsid w:val="00CD2E04"/>
    <w:rsid w:val="00CD34D6"/>
    <w:rsid w:val="00CD37A6"/>
    <w:rsid w:val="00CD3977"/>
    <w:rsid w:val="00CD397C"/>
    <w:rsid w:val="00CD3A00"/>
    <w:rsid w:val="00CD4146"/>
    <w:rsid w:val="00CD4425"/>
    <w:rsid w:val="00CD5742"/>
    <w:rsid w:val="00CD5B00"/>
    <w:rsid w:val="00CD5F9E"/>
    <w:rsid w:val="00CD60D4"/>
    <w:rsid w:val="00CD63A4"/>
    <w:rsid w:val="00CD68C8"/>
    <w:rsid w:val="00CD68FE"/>
    <w:rsid w:val="00CD6EE8"/>
    <w:rsid w:val="00CD768D"/>
    <w:rsid w:val="00CD795C"/>
    <w:rsid w:val="00CD79B7"/>
    <w:rsid w:val="00CE0723"/>
    <w:rsid w:val="00CE0953"/>
    <w:rsid w:val="00CE0969"/>
    <w:rsid w:val="00CE14EA"/>
    <w:rsid w:val="00CE1F86"/>
    <w:rsid w:val="00CE21E4"/>
    <w:rsid w:val="00CE2839"/>
    <w:rsid w:val="00CE3419"/>
    <w:rsid w:val="00CE35F2"/>
    <w:rsid w:val="00CE3A2B"/>
    <w:rsid w:val="00CE3A54"/>
    <w:rsid w:val="00CE4106"/>
    <w:rsid w:val="00CE43A6"/>
    <w:rsid w:val="00CE4BA6"/>
    <w:rsid w:val="00CE50C5"/>
    <w:rsid w:val="00CE53F2"/>
    <w:rsid w:val="00CE57D0"/>
    <w:rsid w:val="00CE59B0"/>
    <w:rsid w:val="00CE62F5"/>
    <w:rsid w:val="00CE6542"/>
    <w:rsid w:val="00CE65DD"/>
    <w:rsid w:val="00CE6690"/>
    <w:rsid w:val="00CE66A7"/>
    <w:rsid w:val="00CE6F65"/>
    <w:rsid w:val="00CE79B6"/>
    <w:rsid w:val="00CF0257"/>
    <w:rsid w:val="00CF10BF"/>
    <w:rsid w:val="00CF11CE"/>
    <w:rsid w:val="00CF1242"/>
    <w:rsid w:val="00CF1360"/>
    <w:rsid w:val="00CF1D44"/>
    <w:rsid w:val="00CF1E11"/>
    <w:rsid w:val="00CF23CC"/>
    <w:rsid w:val="00CF2CCA"/>
    <w:rsid w:val="00CF2EC1"/>
    <w:rsid w:val="00CF324E"/>
    <w:rsid w:val="00CF38DF"/>
    <w:rsid w:val="00CF38E8"/>
    <w:rsid w:val="00CF3D90"/>
    <w:rsid w:val="00CF45E5"/>
    <w:rsid w:val="00CF5146"/>
    <w:rsid w:val="00CF52A7"/>
    <w:rsid w:val="00CF54AF"/>
    <w:rsid w:val="00CF57FA"/>
    <w:rsid w:val="00CF5F93"/>
    <w:rsid w:val="00CF5FF9"/>
    <w:rsid w:val="00CF61EF"/>
    <w:rsid w:val="00CF64C6"/>
    <w:rsid w:val="00CF7041"/>
    <w:rsid w:val="00CF709E"/>
    <w:rsid w:val="00CF70D7"/>
    <w:rsid w:val="00CF7252"/>
    <w:rsid w:val="00CF726B"/>
    <w:rsid w:val="00CF7B4B"/>
    <w:rsid w:val="00CF7CA4"/>
    <w:rsid w:val="00D00594"/>
    <w:rsid w:val="00D018D2"/>
    <w:rsid w:val="00D01AFF"/>
    <w:rsid w:val="00D01BA5"/>
    <w:rsid w:val="00D01DEC"/>
    <w:rsid w:val="00D02374"/>
    <w:rsid w:val="00D02C32"/>
    <w:rsid w:val="00D0340A"/>
    <w:rsid w:val="00D03CC5"/>
    <w:rsid w:val="00D0471F"/>
    <w:rsid w:val="00D04A8B"/>
    <w:rsid w:val="00D05168"/>
    <w:rsid w:val="00D05209"/>
    <w:rsid w:val="00D058E3"/>
    <w:rsid w:val="00D06131"/>
    <w:rsid w:val="00D07102"/>
    <w:rsid w:val="00D075FD"/>
    <w:rsid w:val="00D0790C"/>
    <w:rsid w:val="00D07955"/>
    <w:rsid w:val="00D10D4F"/>
    <w:rsid w:val="00D1104A"/>
    <w:rsid w:val="00D111BA"/>
    <w:rsid w:val="00D11ADD"/>
    <w:rsid w:val="00D12D79"/>
    <w:rsid w:val="00D12DCC"/>
    <w:rsid w:val="00D14033"/>
    <w:rsid w:val="00D14420"/>
    <w:rsid w:val="00D14545"/>
    <w:rsid w:val="00D145A4"/>
    <w:rsid w:val="00D1485B"/>
    <w:rsid w:val="00D148AA"/>
    <w:rsid w:val="00D148B9"/>
    <w:rsid w:val="00D14917"/>
    <w:rsid w:val="00D14B76"/>
    <w:rsid w:val="00D1570B"/>
    <w:rsid w:val="00D15833"/>
    <w:rsid w:val="00D15956"/>
    <w:rsid w:val="00D15B49"/>
    <w:rsid w:val="00D15DB4"/>
    <w:rsid w:val="00D17421"/>
    <w:rsid w:val="00D20246"/>
    <w:rsid w:val="00D2034E"/>
    <w:rsid w:val="00D204E0"/>
    <w:rsid w:val="00D20516"/>
    <w:rsid w:val="00D207DB"/>
    <w:rsid w:val="00D20A4A"/>
    <w:rsid w:val="00D21D4C"/>
    <w:rsid w:val="00D22202"/>
    <w:rsid w:val="00D226C3"/>
    <w:rsid w:val="00D23B09"/>
    <w:rsid w:val="00D23E26"/>
    <w:rsid w:val="00D23F4B"/>
    <w:rsid w:val="00D243C3"/>
    <w:rsid w:val="00D247AC"/>
    <w:rsid w:val="00D256CC"/>
    <w:rsid w:val="00D25871"/>
    <w:rsid w:val="00D27CA3"/>
    <w:rsid w:val="00D30951"/>
    <w:rsid w:val="00D30C20"/>
    <w:rsid w:val="00D30E14"/>
    <w:rsid w:val="00D312AD"/>
    <w:rsid w:val="00D31327"/>
    <w:rsid w:val="00D318FE"/>
    <w:rsid w:val="00D319A6"/>
    <w:rsid w:val="00D31AD7"/>
    <w:rsid w:val="00D31B95"/>
    <w:rsid w:val="00D31E2E"/>
    <w:rsid w:val="00D31F49"/>
    <w:rsid w:val="00D32140"/>
    <w:rsid w:val="00D32D30"/>
    <w:rsid w:val="00D33402"/>
    <w:rsid w:val="00D335AD"/>
    <w:rsid w:val="00D341E4"/>
    <w:rsid w:val="00D345E2"/>
    <w:rsid w:val="00D34697"/>
    <w:rsid w:val="00D34844"/>
    <w:rsid w:val="00D34964"/>
    <w:rsid w:val="00D34BB0"/>
    <w:rsid w:val="00D34C29"/>
    <w:rsid w:val="00D363DE"/>
    <w:rsid w:val="00D36792"/>
    <w:rsid w:val="00D36AB5"/>
    <w:rsid w:val="00D36B1C"/>
    <w:rsid w:val="00D36F36"/>
    <w:rsid w:val="00D3730C"/>
    <w:rsid w:val="00D37FBB"/>
    <w:rsid w:val="00D401E0"/>
    <w:rsid w:val="00D4080E"/>
    <w:rsid w:val="00D40B20"/>
    <w:rsid w:val="00D41E81"/>
    <w:rsid w:val="00D41EF7"/>
    <w:rsid w:val="00D4253F"/>
    <w:rsid w:val="00D427E7"/>
    <w:rsid w:val="00D428D4"/>
    <w:rsid w:val="00D43428"/>
    <w:rsid w:val="00D43598"/>
    <w:rsid w:val="00D4387D"/>
    <w:rsid w:val="00D43A68"/>
    <w:rsid w:val="00D44087"/>
    <w:rsid w:val="00D44214"/>
    <w:rsid w:val="00D448F6"/>
    <w:rsid w:val="00D4589F"/>
    <w:rsid w:val="00D4632B"/>
    <w:rsid w:val="00D467CA"/>
    <w:rsid w:val="00D46929"/>
    <w:rsid w:val="00D46C67"/>
    <w:rsid w:val="00D47658"/>
    <w:rsid w:val="00D477AD"/>
    <w:rsid w:val="00D508E3"/>
    <w:rsid w:val="00D50BEC"/>
    <w:rsid w:val="00D50D52"/>
    <w:rsid w:val="00D50FA5"/>
    <w:rsid w:val="00D51106"/>
    <w:rsid w:val="00D51642"/>
    <w:rsid w:val="00D5190D"/>
    <w:rsid w:val="00D51954"/>
    <w:rsid w:val="00D51D4A"/>
    <w:rsid w:val="00D52B65"/>
    <w:rsid w:val="00D52C33"/>
    <w:rsid w:val="00D53B2A"/>
    <w:rsid w:val="00D5481B"/>
    <w:rsid w:val="00D54885"/>
    <w:rsid w:val="00D55029"/>
    <w:rsid w:val="00D550B4"/>
    <w:rsid w:val="00D551CA"/>
    <w:rsid w:val="00D55CE6"/>
    <w:rsid w:val="00D55DB8"/>
    <w:rsid w:val="00D5619D"/>
    <w:rsid w:val="00D5630B"/>
    <w:rsid w:val="00D564B9"/>
    <w:rsid w:val="00D56D5F"/>
    <w:rsid w:val="00D56F6E"/>
    <w:rsid w:val="00D56FA6"/>
    <w:rsid w:val="00D57C10"/>
    <w:rsid w:val="00D57E1A"/>
    <w:rsid w:val="00D604C9"/>
    <w:rsid w:val="00D608AD"/>
    <w:rsid w:val="00D60953"/>
    <w:rsid w:val="00D60B01"/>
    <w:rsid w:val="00D60F60"/>
    <w:rsid w:val="00D611D7"/>
    <w:rsid w:val="00D61227"/>
    <w:rsid w:val="00D6156B"/>
    <w:rsid w:val="00D61822"/>
    <w:rsid w:val="00D6197C"/>
    <w:rsid w:val="00D61A22"/>
    <w:rsid w:val="00D61AD1"/>
    <w:rsid w:val="00D61F94"/>
    <w:rsid w:val="00D620E4"/>
    <w:rsid w:val="00D62A45"/>
    <w:rsid w:val="00D63046"/>
    <w:rsid w:val="00D64217"/>
    <w:rsid w:val="00D64262"/>
    <w:rsid w:val="00D6473B"/>
    <w:rsid w:val="00D64A8A"/>
    <w:rsid w:val="00D64AB4"/>
    <w:rsid w:val="00D64F69"/>
    <w:rsid w:val="00D64F7B"/>
    <w:rsid w:val="00D64F85"/>
    <w:rsid w:val="00D652DD"/>
    <w:rsid w:val="00D654C0"/>
    <w:rsid w:val="00D65756"/>
    <w:rsid w:val="00D65D4B"/>
    <w:rsid w:val="00D65E22"/>
    <w:rsid w:val="00D66675"/>
    <w:rsid w:val="00D66BD4"/>
    <w:rsid w:val="00D66C67"/>
    <w:rsid w:val="00D66D34"/>
    <w:rsid w:val="00D66DC3"/>
    <w:rsid w:val="00D66EE3"/>
    <w:rsid w:val="00D67573"/>
    <w:rsid w:val="00D675C0"/>
    <w:rsid w:val="00D677D8"/>
    <w:rsid w:val="00D67B03"/>
    <w:rsid w:val="00D67FDE"/>
    <w:rsid w:val="00D70005"/>
    <w:rsid w:val="00D70137"/>
    <w:rsid w:val="00D70568"/>
    <w:rsid w:val="00D7103F"/>
    <w:rsid w:val="00D7122E"/>
    <w:rsid w:val="00D71567"/>
    <w:rsid w:val="00D71B4C"/>
    <w:rsid w:val="00D71F73"/>
    <w:rsid w:val="00D72DBD"/>
    <w:rsid w:val="00D73075"/>
    <w:rsid w:val="00D74289"/>
    <w:rsid w:val="00D74698"/>
    <w:rsid w:val="00D7495D"/>
    <w:rsid w:val="00D7553D"/>
    <w:rsid w:val="00D75EAC"/>
    <w:rsid w:val="00D76178"/>
    <w:rsid w:val="00D762A9"/>
    <w:rsid w:val="00D763BD"/>
    <w:rsid w:val="00D76C5E"/>
    <w:rsid w:val="00D76D68"/>
    <w:rsid w:val="00D77003"/>
    <w:rsid w:val="00D77222"/>
    <w:rsid w:val="00D77A50"/>
    <w:rsid w:val="00D80543"/>
    <w:rsid w:val="00D80A62"/>
    <w:rsid w:val="00D811CE"/>
    <w:rsid w:val="00D8166E"/>
    <w:rsid w:val="00D819A7"/>
    <w:rsid w:val="00D81AB1"/>
    <w:rsid w:val="00D81B3C"/>
    <w:rsid w:val="00D81D5F"/>
    <w:rsid w:val="00D81D92"/>
    <w:rsid w:val="00D823A2"/>
    <w:rsid w:val="00D82664"/>
    <w:rsid w:val="00D826F9"/>
    <w:rsid w:val="00D82CDE"/>
    <w:rsid w:val="00D8361E"/>
    <w:rsid w:val="00D8416E"/>
    <w:rsid w:val="00D8448E"/>
    <w:rsid w:val="00D84AF0"/>
    <w:rsid w:val="00D84F43"/>
    <w:rsid w:val="00D8508F"/>
    <w:rsid w:val="00D8542A"/>
    <w:rsid w:val="00D85AE8"/>
    <w:rsid w:val="00D85EDE"/>
    <w:rsid w:val="00D8619A"/>
    <w:rsid w:val="00D86EEA"/>
    <w:rsid w:val="00D8703F"/>
    <w:rsid w:val="00D87446"/>
    <w:rsid w:val="00D875CA"/>
    <w:rsid w:val="00D8765A"/>
    <w:rsid w:val="00D87AFF"/>
    <w:rsid w:val="00D90781"/>
    <w:rsid w:val="00D90BE0"/>
    <w:rsid w:val="00D90C63"/>
    <w:rsid w:val="00D9112A"/>
    <w:rsid w:val="00D911A0"/>
    <w:rsid w:val="00D91306"/>
    <w:rsid w:val="00D91C17"/>
    <w:rsid w:val="00D91E7E"/>
    <w:rsid w:val="00D91F8D"/>
    <w:rsid w:val="00D920AE"/>
    <w:rsid w:val="00D926F7"/>
    <w:rsid w:val="00D92887"/>
    <w:rsid w:val="00D9288A"/>
    <w:rsid w:val="00D934E3"/>
    <w:rsid w:val="00D941DE"/>
    <w:rsid w:val="00D943F0"/>
    <w:rsid w:val="00D944D3"/>
    <w:rsid w:val="00D95BCE"/>
    <w:rsid w:val="00D961A1"/>
    <w:rsid w:val="00D961D3"/>
    <w:rsid w:val="00D961D8"/>
    <w:rsid w:val="00D963CF"/>
    <w:rsid w:val="00D96407"/>
    <w:rsid w:val="00D96933"/>
    <w:rsid w:val="00D96E81"/>
    <w:rsid w:val="00D9772B"/>
    <w:rsid w:val="00DA01B3"/>
    <w:rsid w:val="00DA0A50"/>
    <w:rsid w:val="00DA0D1B"/>
    <w:rsid w:val="00DA126F"/>
    <w:rsid w:val="00DA13A7"/>
    <w:rsid w:val="00DA1DF6"/>
    <w:rsid w:val="00DA1F1C"/>
    <w:rsid w:val="00DA24D1"/>
    <w:rsid w:val="00DA25F9"/>
    <w:rsid w:val="00DA29A2"/>
    <w:rsid w:val="00DA2A6D"/>
    <w:rsid w:val="00DA2B77"/>
    <w:rsid w:val="00DA366E"/>
    <w:rsid w:val="00DA3895"/>
    <w:rsid w:val="00DA3D25"/>
    <w:rsid w:val="00DA3DF7"/>
    <w:rsid w:val="00DA3E76"/>
    <w:rsid w:val="00DA412B"/>
    <w:rsid w:val="00DA4F04"/>
    <w:rsid w:val="00DA5056"/>
    <w:rsid w:val="00DA51E6"/>
    <w:rsid w:val="00DA5440"/>
    <w:rsid w:val="00DA5A80"/>
    <w:rsid w:val="00DA633D"/>
    <w:rsid w:val="00DA67B6"/>
    <w:rsid w:val="00DA7368"/>
    <w:rsid w:val="00DA79DE"/>
    <w:rsid w:val="00DA7C90"/>
    <w:rsid w:val="00DA7D28"/>
    <w:rsid w:val="00DA7F3A"/>
    <w:rsid w:val="00DB0046"/>
    <w:rsid w:val="00DB0123"/>
    <w:rsid w:val="00DB02ED"/>
    <w:rsid w:val="00DB0DF7"/>
    <w:rsid w:val="00DB18FC"/>
    <w:rsid w:val="00DB1ADC"/>
    <w:rsid w:val="00DB1DFB"/>
    <w:rsid w:val="00DB22E2"/>
    <w:rsid w:val="00DB256F"/>
    <w:rsid w:val="00DB260C"/>
    <w:rsid w:val="00DB2A3F"/>
    <w:rsid w:val="00DB2B9E"/>
    <w:rsid w:val="00DB2C33"/>
    <w:rsid w:val="00DB3394"/>
    <w:rsid w:val="00DB37FD"/>
    <w:rsid w:val="00DB3831"/>
    <w:rsid w:val="00DB4644"/>
    <w:rsid w:val="00DB4E5A"/>
    <w:rsid w:val="00DB54C4"/>
    <w:rsid w:val="00DB556E"/>
    <w:rsid w:val="00DB5AD8"/>
    <w:rsid w:val="00DB6707"/>
    <w:rsid w:val="00DB6A40"/>
    <w:rsid w:val="00DB7107"/>
    <w:rsid w:val="00DB72D8"/>
    <w:rsid w:val="00DB7BF9"/>
    <w:rsid w:val="00DB7C4C"/>
    <w:rsid w:val="00DB7EA1"/>
    <w:rsid w:val="00DC0AA6"/>
    <w:rsid w:val="00DC0B63"/>
    <w:rsid w:val="00DC0CB9"/>
    <w:rsid w:val="00DC0E6F"/>
    <w:rsid w:val="00DC178E"/>
    <w:rsid w:val="00DC17A4"/>
    <w:rsid w:val="00DC18AC"/>
    <w:rsid w:val="00DC2476"/>
    <w:rsid w:val="00DC28C9"/>
    <w:rsid w:val="00DC2D4B"/>
    <w:rsid w:val="00DC326B"/>
    <w:rsid w:val="00DC343C"/>
    <w:rsid w:val="00DC3519"/>
    <w:rsid w:val="00DC3537"/>
    <w:rsid w:val="00DC3569"/>
    <w:rsid w:val="00DC3B96"/>
    <w:rsid w:val="00DC3B9E"/>
    <w:rsid w:val="00DC3BE4"/>
    <w:rsid w:val="00DC4BA1"/>
    <w:rsid w:val="00DC51A3"/>
    <w:rsid w:val="00DC5267"/>
    <w:rsid w:val="00DC546A"/>
    <w:rsid w:val="00DC595F"/>
    <w:rsid w:val="00DC6CFF"/>
    <w:rsid w:val="00DC6FEE"/>
    <w:rsid w:val="00DC744D"/>
    <w:rsid w:val="00DC7457"/>
    <w:rsid w:val="00DC74C2"/>
    <w:rsid w:val="00DC79AE"/>
    <w:rsid w:val="00DC7D84"/>
    <w:rsid w:val="00DD06A7"/>
    <w:rsid w:val="00DD081D"/>
    <w:rsid w:val="00DD15B8"/>
    <w:rsid w:val="00DD1645"/>
    <w:rsid w:val="00DD1859"/>
    <w:rsid w:val="00DD19C1"/>
    <w:rsid w:val="00DD1AD5"/>
    <w:rsid w:val="00DD1B37"/>
    <w:rsid w:val="00DD28AE"/>
    <w:rsid w:val="00DD2E21"/>
    <w:rsid w:val="00DD2FA7"/>
    <w:rsid w:val="00DD3165"/>
    <w:rsid w:val="00DD3369"/>
    <w:rsid w:val="00DD3C61"/>
    <w:rsid w:val="00DD3CD4"/>
    <w:rsid w:val="00DD46BF"/>
    <w:rsid w:val="00DD4CD0"/>
    <w:rsid w:val="00DD4EB6"/>
    <w:rsid w:val="00DD5841"/>
    <w:rsid w:val="00DD5A92"/>
    <w:rsid w:val="00DD63E5"/>
    <w:rsid w:val="00DD6409"/>
    <w:rsid w:val="00DD6B26"/>
    <w:rsid w:val="00DD7653"/>
    <w:rsid w:val="00DD7776"/>
    <w:rsid w:val="00DE03D9"/>
    <w:rsid w:val="00DE1514"/>
    <w:rsid w:val="00DE19B9"/>
    <w:rsid w:val="00DE1A37"/>
    <w:rsid w:val="00DE1B58"/>
    <w:rsid w:val="00DE209F"/>
    <w:rsid w:val="00DE296D"/>
    <w:rsid w:val="00DE2FE8"/>
    <w:rsid w:val="00DE3169"/>
    <w:rsid w:val="00DE350C"/>
    <w:rsid w:val="00DE39EC"/>
    <w:rsid w:val="00DE3B8C"/>
    <w:rsid w:val="00DE3C5D"/>
    <w:rsid w:val="00DE420C"/>
    <w:rsid w:val="00DE4AE4"/>
    <w:rsid w:val="00DE4D0A"/>
    <w:rsid w:val="00DE4D7E"/>
    <w:rsid w:val="00DE56A9"/>
    <w:rsid w:val="00DE5732"/>
    <w:rsid w:val="00DE5D46"/>
    <w:rsid w:val="00DE61B2"/>
    <w:rsid w:val="00DE6A1A"/>
    <w:rsid w:val="00DE6D84"/>
    <w:rsid w:val="00DE6FC4"/>
    <w:rsid w:val="00DE6FFB"/>
    <w:rsid w:val="00DE766B"/>
    <w:rsid w:val="00DF11DE"/>
    <w:rsid w:val="00DF16CA"/>
    <w:rsid w:val="00DF1B93"/>
    <w:rsid w:val="00DF1EC7"/>
    <w:rsid w:val="00DF22DC"/>
    <w:rsid w:val="00DF26A2"/>
    <w:rsid w:val="00DF29DF"/>
    <w:rsid w:val="00DF2A7E"/>
    <w:rsid w:val="00DF3501"/>
    <w:rsid w:val="00DF3D6F"/>
    <w:rsid w:val="00DF424C"/>
    <w:rsid w:val="00DF4951"/>
    <w:rsid w:val="00DF587A"/>
    <w:rsid w:val="00DF5CA9"/>
    <w:rsid w:val="00DF62D7"/>
    <w:rsid w:val="00DF6684"/>
    <w:rsid w:val="00DF6989"/>
    <w:rsid w:val="00DF6D3E"/>
    <w:rsid w:val="00DF76C2"/>
    <w:rsid w:val="00DF780B"/>
    <w:rsid w:val="00DF7A78"/>
    <w:rsid w:val="00DF7D79"/>
    <w:rsid w:val="00E002E7"/>
    <w:rsid w:val="00E006B5"/>
    <w:rsid w:val="00E007D1"/>
    <w:rsid w:val="00E00BD4"/>
    <w:rsid w:val="00E0142A"/>
    <w:rsid w:val="00E0158E"/>
    <w:rsid w:val="00E01672"/>
    <w:rsid w:val="00E01755"/>
    <w:rsid w:val="00E01930"/>
    <w:rsid w:val="00E01AF9"/>
    <w:rsid w:val="00E0207B"/>
    <w:rsid w:val="00E024F1"/>
    <w:rsid w:val="00E02A2F"/>
    <w:rsid w:val="00E02CCB"/>
    <w:rsid w:val="00E02D89"/>
    <w:rsid w:val="00E034CF"/>
    <w:rsid w:val="00E036BB"/>
    <w:rsid w:val="00E03903"/>
    <w:rsid w:val="00E03BFE"/>
    <w:rsid w:val="00E03DAD"/>
    <w:rsid w:val="00E04151"/>
    <w:rsid w:val="00E0476E"/>
    <w:rsid w:val="00E0491A"/>
    <w:rsid w:val="00E0519B"/>
    <w:rsid w:val="00E06815"/>
    <w:rsid w:val="00E0690B"/>
    <w:rsid w:val="00E073BA"/>
    <w:rsid w:val="00E07648"/>
    <w:rsid w:val="00E0786A"/>
    <w:rsid w:val="00E0793C"/>
    <w:rsid w:val="00E07EE4"/>
    <w:rsid w:val="00E1077E"/>
    <w:rsid w:val="00E10D81"/>
    <w:rsid w:val="00E10EE6"/>
    <w:rsid w:val="00E11331"/>
    <w:rsid w:val="00E1142A"/>
    <w:rsid w:val="00E115AC"/>
    <w:rsid w:val="00E11D0C"/>
    <w:rsid w:val="00E11F2E"/>
    <w:rsid w:val="00E12201"/>
    <w:rsid w:val="00E12606"/>
    <w:rsid w:val="00E12BEC"/>
    <w:rsid w:val="00E13262"/>
    <w:rsid w:val="00E139CB"/>
    <w:rsid w:val="00E13BC3"/>
    <w:rsid w:val="00E13E10"/>
    <w:rsid w:val="00E13EAC"/>
    <w:rsid w:val="00E14858"/>
    <w:rsid w:val="00E14B27"/>
    <w:rsid w:val="00E14CCD"/>
    <w:rsid w:val="00E14D82"/>
    <w:rsid w:val="00E14F00"/>
    <w:rsid w:val="00E15088"/>
    <w:rsid w:val="00E152C5"/>
    <w:rsid w:val="00E153CF"/>
    <w:rsid w:val="00E15558"/>
    <w:rsid w:val="00E15A2F"/>
    <w:rsid w:val="00E16589"/>
    <w:rsid w:val="00E166CE"/>
    <w:rsid w:val="00E16995"/>
    <w:rsid w:val="00E16F72"/>
    <w:rsid w:val="00E17984"/>
    <w:rsid w:val="00E17E53"/>
    <w:rsid w:val="00E17E79"/>
    <w:rsid w:val="00E2009B"/>
    <w:rsid w:val="00E200A4"/>
    <w:rsid w:val="00E20888"/>
    <w:rsid w:val="00E20BDE"/>
    <w:rsid w:val="00E20F42"/>
    <w:rsid w:val="00E20F9B"/>
    <w:rsid w:val="00E210F5"/>
    <w:rsid w:val="00E215C8"/>
    <w:rsid w:val="00E21CBA"/>
    <w:rsid w:val="00E21F39"/>
    <w:rsid w:val="00E221A9"/>
    <w:rsid w:val="00E22998"/>
    <w:rsid w:val="00E22AB6"/>
    <w:rsid w:val="00E22D29"/>
    <w:rsid w:val="00E2328F"/>
    <w:rsid w:val="00E233FD"/>
    <w:rsid w:val="00E23780"/>
    <w:rsid w:val="00E23FC0"/>
    <w:rsid w:val="00E2411C"/>
    <w:rsid w:val="00E2453A"/>
    <w:rsid w:val="00E24F16"/>
    <w:rsid w:val="00E250AB"/>
    <w:rsid w:val="00E25446"/>
    <w:rsid w:val="00E25FE4"/>
    <w:rsid w:val="00E263F5"/>
    <w:rsid w:val="00E26747"/>
    <w:rsid w:val="00E26AFF"/>
    <w:rsid w:val="00E2712E"/>
    <w:rsid w:val="00E27200"/>
    <w:rsid w:val="00E27500"/>
    <w:rsid w:val="00E2756C"/>
    <w:rsid w:val="00E27A05"/>
    <w:rsid w:val="00E27C1F"/>
    <w:rsid w:val="00E3010D"/>
    <w:rsid w:val="00E30288"/>
    <w:rsid w:val="00E30BF8"/>
    <w:rsid w:val="00E30EB1"/>
    <w:rsid w:val="00E314C1"/>
    <w:rsid w:val="00E317DF"/>
    <w:rsid w:val="00E31F2E"/>
    <w:rsid w:val="00E3238C"/>
    <w:rsid w:val="00E3258D"/>
    <w:rsid w:val="00E32B14"/>
    <w:rsid w:val="00E330AB"/>
    <w:rsid w:val="00E33426"/>
    <w:rsid w:val="00E33B45"/>
    <w:rsid w:val="00E343FF"/>
    <w:rsid w:val="00E34A48"/>
    <w:rsid w:val="00E35049"/>
    <w:rsid w:val="00E352AD"/>
    <w:rsid w:val="00E3538B"/>
    <w:rsid w:val="00E353E5"/>
    <w:rsid w:val="00E357EE"/>
    <w:rsid w:val="00E358BC"/>
    <w:rsid w:val="00E3771E"/>
    <w:rsid w:val="00E37841"/>
    <w:rsid w:val="00E37B31"/>
    <w:rsid w:val="00E403F0"/>
    <w:rsid w:val="00E40BD0"/>
    <w:rsid w:val="00E414FE"/>
    <w:rsid w:val="00E416E1"/>
    <w:rsid w:val="00E41B9F"/>
    <w:rsid w:val="00E42738"/>
    <w:rsid w:val="00E42942"/>
    <w:rsid w:val="00E43382"/>
    <w:rsid w:val="00E445DF"/>
    <w:rsid w:val="00E44A91"/>
    <w:rsid w:val="00E44C78"/>
    <w:rsid w:val="00E44E07"/>
    <w:rsid w:val="00E44E2E"/>
    <w:rsid w:val="00E453B4"/>
    <w:rsid w:val="00E4611D"/>
    <w:rsid w:val="00E4784D"/>
    <w:rsid w:val="00E4793B"/>
    <w:rsid w:val="00E507D9"/>
    <w:rsid w:val="00E50994"/>
    <w:rsid w:val="00E50AAC"/>
    <w:rsid w:val="00E513DC"/>
    <w:rsid w:val="00E51845"/>
    <w:rsid w:val="00E51982"/>
    <w:rsid w:val="00E51AEC"/>
    <w:rsid w:val="00E52033"/>
    <w:rsid w:val="00E520CE"/>
    <w:rsid w:val="00E5234E"/>
    <w:rsid w:val="00E52AA9"/>
    <w:rsid w:val="00E53347"/>
    <w:rsid w:val="00E53D13"/>
    <w:rsid w:val="00E5464B"/>
    <w:rsid w:val="00E550D2"/>
    <w:rsid w:val="00E558DC"/>
    <w:rsid w:val="00E559B3"/>
    <w:rsid w:val="00E55C8A"/>
    <w:rsid w:val="00E56779"/>
    <w:rsid w:val="00E567FA"/>
    <w:rsid w:val="00E56966"/>
    <w:rsid w:val="00E56C87"/>
    <w:rsid w:val="00E56DE7"/>
    <w:rsid w:val="00E56EAE"/>
    <w:rsid w:val="00E57159"/>
    <w:rsid w:val="00E572C4"/>
    <w:rsid w:val="00E5792F"/>
    <w:rsid w:val="00E57C95"/>
    <w:rsid w:val="00E6008C"/>
    <w:rsid w:val="00E6019E"/>
    <w:rsid w:val="00E602E2"/>
    <w:rsid w:val="00E606A7"/>
    <w:rsid w:val="00E6127B"/>
    <w:rsid w:val="00E61571"/>
    <w:rsid w:val="00E61AFF"/>
    <w:rsid w:val="00E61B1E"/>
    <w:rsid w:val="00E61FDF"/>
    <w:rsid w:val="00E6223A"/>
    <w:rsid w:val="00E62338"/>
    <w:rsid w:val="00E63553"/>
    <w:rsid w:val="00E635F4"/>
    <w:rsid w:val="00E63CB5"/>
    <w:rsid w:val="00E63F9A"/>
    <w:rsid w:val="00E64242"/>
    <w:rsid w:val="00E64280"/>
    <w:rsid w:val="00E64389"/>
    <w:rsid w:val="00E645B0"/>
    <w:rsid w:val="00E64612"/>
    <w:rsid w:val="00E64821"/>
    <w:rsid w:val="00E65419"/>
    <w:rsid w:val="00E6569A"/>
    <w:rsid w:val="00E66260"/>
    <w:rsid w:val="00E66455"/>
    <w:rsid w:val="00E669A8"/>
    <w:rsid w:val="00E66A98"/>
    <w:rsid w:val="00E66F56"/>
    <w:rsid w:val="00E670E3"/>
    <w:rsid w:val="00E6716E"/>
    <w:rsid w:val="00E672EC"/>
    <w:rsid w:val="00E678EC"/>
    <w:rsid w:val="00E678F7"/>
    <w:rsid w:val="00E67AA2"/>
    <w:rsid w:val="00E70034"/>
    <w:rsid w:val="00E70299"/>
    <w:rsid w:val="00E702AC"/>
    <w:rsid w:val="00E704DB"/>
    <w:rsid w:val="00E71063"/>
    <w:rsid w:val="00E712C5"/>
    <w:rsid w:val="00E72197"/>
    <w:rsid w:val="00E724A4"/>
    <w:rsid w:val="00E72637"/>
    <w:rsid w:val="00E72C2E"/>
    <w:rsid w:val="00E7308D"/>
    <w:rsid w:val="00E736D1"/>
    <w:rsid w:val="00E73A95"/>
    <w:rsid w:val="00E73B1F"/>
    <w:rsid w:val="00E73C7F"/>
    <w:rsid w:val="00E7400B"/>
    <w:rsid w:val="00E744AB"/>
    <w:rsid w:val="00E7453A"/>
    <w:rsid w:val="00E74E63"/>
    <w:rsid w:val="00E753D2"/>
    <w:rsid w:val="00E75580"/>
    <w:rsid w:val="00E75800"/>
    <w:rsid w:val="00E75B79"/>
    <w:rsid w:val="00E75EA5"/>
    <w:rsid w:val="00E75F95"/>
    <w:rsid w:val="00E767E5"/>
    <w:rsid w:val="00E76C09"/>
    <w:rsid w:val="00E779B7"/>
    <w:rsid w:val="00E77A64"/>
    <w:rsid w:val="00E77A79"/>
    <w:rsid w:val="00E77BB2"/>
    <w:rsid w:val="00E77CB2"/>
    <w:rsid w:val="00E80382"/>
    <w:rsid w:val="00E80BE1"/>
    <w:rsid w:val="00E80F28"/>
    <w:rsid w:val="00E80F80"/>
    <w:rsid w:val="00E811A5"/>
    <w:rsid w:val="00E81BF5"/>
    <w:rsid w:val="00E823D4"/>
    <w:rsid w:val="00E82656"/>
    <w:rsid w:val="00E82660"/>
    <w:rsid w:val="00E826E6"/>
    <w:rsid w:val="00E82ACB"/>
    <w:rsid w:val="00E82ADC"/>
    <w:rsid w:val="00E82AF2"/>
    <w:rsid w:val="00E8318F"/>
    <w:rsid w:val="00E836CD"/>
    <w:rsid w:val="00E846A3"/>
    <w:rsid w:val="00E846F8"/>
    <w:rsid w:val="00E8506D"/>
    <w:rsid w:val="00E854F4"/>
    <w:rsid w:val="00E85BBF"/>
    <w:rsid w:val="00E85F71"/>
    <w:rsid w:val="00E863A8"/>
    <w:rsid w:val="00E868D4"/>
    <w:rsid w:val="00E87208"/>
    <w:rsid w:val="00E8761E"/>
    <w:rsid w:val="00E87655"/>
    <w:rsid w:val="00E877AE"/>
    <w:rsid w:val="00E87DD3"/>
    <w:rsid w:val="00E900C4"/>
    <w:rsid w:val="00E913B5"/>
    <w:rsid w:val="00E91975"/>
    <w:rsid w:val="00E91BC4"/>
    <w:rsid w:val="00E92063"/>
    <w:rsid w:val="00E92762"/>
    <w:rsid w:val="00E92B9C"/>
    <w:rsid w:val="00E92E38"/>
    <w:rsid w:val="00E94C6A"/>
    <w:rsid w:val="00E952C7"/>
    <w:rsid w:val="00E9536D"/>
    <w:rsid w:val="00E96044"/>
    <w:rsid w:val="00E96979"/>
    <w:rsid w:val="00E96A34"/>
    <w:rsid w:val="00E97769"/>
    <w:rsid w:val="00E97A27"/>
    <w:rsid w:val="00E97D58"/>
    <w:rsid w:val="00EA031E"/>
    <w:rsid w:val="00EA0479"/>
    <w:rsid w:val="00EA086F"/>
    <w:rsid w:val="00EA0899"/>
    <w:rsid w:val="00EA0B59"/>
    <w:rsid w:val="00EA0E43"/>
    <w:rsid w:val="00EA0F56"/>
    <w:rsid w:val="00EA0FD5"/>
    <w:rsid w:val="00EA1100"/>
    <w:rsid w:val="00EA13BA"/>
    <w:rsid w:val="00EA1662"/>
    <w:rsid w:val="00EA1BC3"/>
    <w:rsid w:val="00EA1F56"/>
    <w:rsid w:val="00EA2618"/>
    <w:rsid w:val="00EA265B"/>
    <w:rsid w:val="00EA3134"/>
    <w:rsid w:val="00EA33EB"/>
    <w:rsid w:val="00EA34D1"/>
    <w:rsid w:val="00EA35C7"/>
    <w:rsid w:val="00EA37AC"/>
    <w:rsid w:val="00EA3F5B"/>
    <w:rsid w:val="00EA446F"/>
    <w:rsid w:val="00EA48C8"/>
    <w:rsid w:val="00EA4ED8"/>
    <w:rsid w:val="00EA5453"/>
    <w:rsid w:val="00EA566E"/>
    <w:rsid w:val="00EA5801"/>
    <w:rsid w:val="00EA5D79"/>
    <w:rsid w:val="00EA6878"/>
    <w:rsid w:val="00EA6959"/>
    <w:rsid w:val="00EA6C6E"/>
    <w:rsid w:val="00EA6D15"/>
    <w:rsid w:val="00EA776C"/>
    <w:rsid w:val="00EA7B3F"/>
    <w:rsid w:val="00EA7EA2"/>
    <w:rsid w:val="00EB00B3"/>
    <w:rsid w:val="00EB03E4"/>
    <w:rsid w:val="00EB0990"/>
    <w:rsid w:val="00EB09C9"/>
    <w:rsid w:val="00EB15E0"/>
    <w:rsid w:val="00EB16B2"/>
    <w:rsid w:val="00EB2532"/>
    <w:rsid w:val="00EB2ED8"/>
    <w:rsid w:val="00EB341D"/>
    <w:rsid w:val="00EB3740"/>
    <w:rsid w:val="00EB39B4"/>
    <w:rsid w:val="00EB3DA7"/>
    <w:rsid w:val="00EB3EE7"/>
    <w:rsid w:val="00EB401F"/>
    <w:rsid w:val="00EB46D7"/>
    <w:rsid w:val="00EB50F0"/>
    <w:rsid w:val="00EB556F"/>
    <w:rsid w:val="00EB564D"/>
    <w:rsid w:val="00EB58A5"/>
    <w:rsid w:val="00EB5E8A"/>
    <w:rsid w:val="00EB62B8"/>
    <w:rsid w:val="00EB63C9"/>
    <w:rsid w:val="00EB6455"/>
    <w:rsid w:val="00EB6781"/>
    <w:rsid w:val="00EB6D9F"/>
    <w:rsid w:val="00EB74D7"/>
    <w:rsid w:val="00EB78D8"/>
    <w:rsid w:val="00EB79E1"/>
    <w:rsid w:val="00EB7AAE"/>
    <w:rsid w:val="00EB7FCE"/>
    <w:rsid w:val="00EC0050"/>
    <w:rsid w:val="00EC08ED"/>
    <w:rsid w:val="00EC0EC0"/>
    <w:rsid w:val="00EC1BCA"/>
    <w:rsid w:val="00EC1DE0"/>
    <w:rsid w:val="00EC20F5"/>
    <w:rsid w:val="00EC2B98"/>
    <w:rsid w:val="00EC2D64"/>
    <w:rsid w:val="00EC377F"/>
    <w:rsid w:val="00EC3BE2"/>
    <w:rsid w:val="00EC42EE"/>
    <w:rsid w:val="00EC483D"/>
    <w:rsid w:val="00EC48D1"/>
    <w:rsid w:val="00EC4F70"/>
    <w:rsid w:val="00EC56BD"/>
    <w:rsid w:val="00EC59A0"/>
    <w:rsid w:val="00EC6165"/>
    <w:rsid w:val="00EC61C9"/>
    <w:rsid w:val="00EC6518"/>
    <w:rsid w:val="00EC66D4"/>
    <w:rsid w:val="00EC696C"/>
    <w:rsid w:val="00EC6A25"/>
    <w:rsid w:val="00EC6C38"/>
    <w:rsid w:val="00EC707B"/>
    <w:rsid w:val="00EC73DF"/>
    <w:rsid w:val="00ED039D"/>
    <w:rsid w:val="00ED0939"/>
    <w:rsid w:val="00ED0C60"/>
    <w:rsid w:val="00ED0F6D"/>
    <w:rsid w:val="00ED1613"/>
    <w:rsid w:val="00ED204B"/>
    <w:rsid w:val="00ED21FE"/>
    <w:rsid w:val="00ED23A2"/>
    <w:rsid w:val="00ED279E"/>
    <w:rsid w:val="00ED2A9C"/>
    <w:rsid w:val="00ED36A7"/>
    <w:rsid w:val="00ED3982"/>
    <w:rsid w:val="00ED40E2"/>
    <w:rsid w:val="00ED44B9"/>
    <w:rsid w:val="00ED5D6B"/>
    <w:rsid w:val="00ED5E5D"/>
    <w:rsid w:val="00ED6F01"/>
    <w:rsid w:val="00ED71F1"/>
    <w:rsid w:val="00ED7CE7"/>
    <w:rsid w:val="00EE02A3"/>
    <w:rsid w:val="00EE0986"/>
    <w:rsid w:val="00EE0B19"/>
    <w:rsid w:val="00EE0F99"/>
    <w:rsid w:val="00EE1031"/>
    <w:rsid w:val="00EE10E0"/>
    <w:rsid w:val="00EE1921"/>
    <w:rsid w:val="00EE2080"/>
    <w:rsid w:val="00EE271C"/>
    <w:rsid w:val="00EE28D7"/>
    <w:rsid w:val="00EE2967"/>
    <w:rsid w:val="00EE2B46"/>
    <w:rsid w:val="00EE38C8"/>
    <w:rsid w:val="00EE3F9E"/>
    <w:rsid w:val="00EE43F3"/>
    <w:rsid w:val="00EE48F5"/>
    <w:rsid w:val="00EE4CEF"/>
    <w:rsid w:val="00EE52DF"/>
    <w:rsid w:val="00EE5E93"/>
    <w:rsid w:val="00EE74F3"/>
    <w:rsid w:val="00EE754C"/>
    <w:rsid w:val="00EF04A8"/>
    <w:rsid w:val="00EF0908"/>
    <w:rsid w:val="00EF0D50"/>
    <w:rsid w:val="00EF1150"/>
    <w:rsid w:val="00EF1519"/>
    <w:rsid w:val="00EF1700"/>
    <w:rsid w:val="00EF1944"/>
    <w:rsid w:val="00EF1CD7"/>
    <w:rsid w:val="00EF2AD4"/>
    <w:rsid w:val="00EF30F5"/>
    <w:rsid w:val="00EF387F"/>
    <w:rsid w:val="00EF3CDA"/>
    <w:rsid w:val="00EF44D2"/>
    <w:rsid w:val="00EF5115"/>
    <w:rsid w:val="00EF516A"/>
    <w:rsid w:val="00EF520C"/>
    <w:rsid w:val="00EF529C"/>
    <w:rsid w:val="00EF5607"/>
    <w:rsid w:val="00EF56A1"/>
    <w:rsid w:val="00EF5A18"/>
    <w:rsid w:val="00EF5CE1"/>
    <w:rsid w:val="00EF5FC1"/>
    <w:rsid w:val="00EF6349"/>
    <w:rsid w:val="00EF6511"/>
    <w:rsid w:val="00EF74BC"/>
    <w:rsid w:val="00EF77B2"/>
    <w:rsid w:val="00EF79D0"/>
    <w:rsid w:val="00EF7ADD"/>
    <w:rsid w:val="00EF7C1C"/>
    <w:rsid w:val="00EF7DD6"/>
    <w:rsid w:val="00F00847"/>
    <w:rsid w:val="00F00B41"/>
    <w:rsid w:val="00F00BC5"/>
    <w:rsid w:val="00F00EB9"/>
    <w:rsid w:val="00F01177"/>
    <w:rsid w:val="00F015E4"/>
    <w:rsid w:val="00F01698"/>
    <w:rsid w:val="00F01A45"/>
    <w:rsid w:val="00F01B5B"/>
    <w:rsid w:val="00F02359"/>
    <w:rsid w:val="00F0284F"/>
    <w:rsid w:val="00F0285B"/>
    <w:rsid w:val="00F02A14"/>
    <w:rsid w:val="00F03212"/>
    <w:rsid w:val="00F03487"/>
    <w:rsid w:val="00F03B21"/>
    <w:rsid w:val="00F03D5A"/>
    <w:rsid w:val="00F04DD5"/>
    <w:rsid w:val="00F04E67"/>
    <w:rsid w:val="00F04F2F"/>
    <w:rsid w:val="00F050D9"/>
    <w:rsid w:val="00F058A4"/>
    <w:rsid w:val="00F058D6"/>
    <w:rsid w:val="00F065FD"/>
    <w:rsid w:val="00F06B59"/>
    <w:rsid w:val="00F06CC2"/>
    <w:rsid w:val="00F07271"/>
    <w:rsid w:val="00F07324"/>
    <w:rsid w:val="00F078D4"/>
    <w:rsid w:val="00F07B76"/>
    <w:rsid w:val="00F07DEF"/>
    <w:rsid w:val="00F10A52"/>
    <w:rsid w:val="00F11587"/>
    <w:rsid w:val="00F11909"/>
    <w:rsid w:val="00F11A28"/>
    <w:rsid w:val="00F11FAB"/>
    <w:rsid w:val="00F12291"/>
    <w:rsid w:val="00F129B5"/>
    <w:rsid w:val="00F138AD"/>
    <w:rsid w:val="00F13EB6"/>
    <w:rsid w:val="00F148A4"/>
    <w:rsid w:val="00F153ED"/>
    <w:rsid w:val="00F1560E"/>
    <w:rsid w:val="00F1579F"/>
    <w:rsid w:val="00F158F8"/>
    <w:rsid w:val="00F15F18"/>
    <w:rsid w:val="00F164B3"/>
    <w:rsid w:val="00F16D67"/>
    <w:rsid w:val="00F16F6B"/>
    <w:rsid w:val="00F16F9D"/>
    <w:rsid w:val="00F17580"/>
    <w:rsid w:val="00F17897"/>
    <w:rsid w:val="00F17A04"/>
    <w:rsid w:val="00F17BDF"/>
    <w:rsid w:val="00F20224"/>
    <w:rsid w:val="00F20273"/>
    <w:rsid w:val="00F20B35"/>
    <w:rsid w:val="00F21081"/>
    <w:rsid w:val="00F21388"/>
    <w:rsid w:val="00F2140B"/>
    <w:rsid w:val="00F21509"/>
    <w:rsid w:val="00F21581"/>
    <w:rsid w:val="00F2197B"/>
    <w:rsid w:val="00F219EB"/>
    <w:rsid w:val="00F225A3"/>
    <w:rsid w:val="00F225ED"/>
    <w:rsid w:val="00F225F6"/>
    <w:rsid w:val="00F22898"/>
    <w:rsid w:val="00F22F28"/>
    <w:rsid w:val="00F236A1"/>
    <w:rsid w:val="00F236A2"/>
    <w:rsid w:val="00F23B0C"/>
    <w:rsid w:val="00F24137"/>
    <w:rsid w:val="00F24215"/>
    <w:rsid w:val="00F2424F"/>
    <w:rsid w:val="00F24437"/>
    <w:rsid w:val="00F2485E"/>
    <w:rsid w:val="00F24A31"/>
    <w:rsid w:val="00F2544C"/>
    <w:rsid w:val="00F263BC"/>
    <w:rsid w:val="00F26D05"/>
    <w:rsid w:val="00F27308"/>
    <w:rsid w:val="00F273B9"/>
    <w:rsid w:val="00F27603"/>
    <w:rsid w:val="00F27A71"/>
    <w:rsid w:val="00F3006C"/>
    <w:rsid w:val="00F3099A"/>
    <w:rsid w:val="00F30DFD"/>
    <w:rsid w:val="00F31104"/>
    <w:rsid w:val="00F31E50"/>
    <w:rsid w:val="00F32EE3"/>
    <w:rsid w:val="00F3371E"/>
    <w:rsid w:val="00F3382E"/>
    <w:rsid w:val="00F33A2E"/>
    <w:rsid w:val="00F33DF9"/>
    <w:rsid w:val="00F33EE6"/>
    <w:rsid w:val="00F3410F"/>
    <w:rsid w:val="00F345B0"/>
    <w:rsid w:val="00F34863"/>
    <w:rsid w:val="00F34A2A"/>
    <w:rsid w:val="00F34A58"/>
    <w:rsid w:val="00F34BBC"/>
    <w:rsid w:val="00F34F20"/>
    <w:rsid w:val="00F35956"/>
    <w:rsid w:val="00F359A9"/>
    <w:rsid w:val="00F35AFA"/>
    <w:rsid w:val="00F35C6D"/>
    <w:rsid w:val="00F36AEB"/>
    <w:rsid w:val="00F36E38"/>
    <w:rsid w:val="00F37230"/>
    <w:rsid w:val="00F37A66"/>
    <w:rsid w:val="00F37FC1"/>
    <w:rsid w:val="00F405F8"/>
    <w:rsid w:val="00F40600"/>
    <w:rsid w:val="00F4077C"/>
    <w:rsid w:val="00F40DB6"/>
    <w:rsid w:val="00F41194"/>
    <w:rsid w:val="00F4141C"/>
    <w:rsid w:val="00F417AA"/>
    <w:rsid w:val="00F41AB8"/>
    <w:rsid w:val="00F42408"/>
    <w:rsid w:val="00F42B6B"/>
    <w:rsid w:val="00F42DC5"/>
    <w:rsid w:val="00F42E10"/>
    <w:rsid w:val="00F4362D"/>
    <w:rsid w:val="00F43E46"/>
    <w:rsid w:val="00F4416B"/>
    <w:rsid w:val="00F44CC6"/>
    <w:rsid w:val="00F453D5"/>
    <w:rsid w:val="00F458C7"/>
    <w:rsid w:val="00F45A2D"/>
    <w:rsid w:val="00F4628D"/>
    <w:rsid w:val="00F46BC6"/>
    <w:rsid w:val="00F46ECF"/>
    <w:rsid w:val="00F474A5"/>
    <w:rsid w:val="00F50837"/>
    <w:rsid w:val="00F50C8A"/>
    <w:rsid w:val="00F510E7"/>
    <w:rsid w:val="00F52218"/>
    <w:rsid w:val="00F52436"/>
    <w:rsid w:val="00F52527"/>
    <w:rsid w:val="00F5270F"/>
    <w:rsid w:val="00F5296B"/>
    <w:rsid w:val="00F52DFB"/>
    <w:rsid w:val="00F535E9"/>
    <w:rsid w:val="00F53978"/>
    <w:rsid w:val="00F53D8A"/>
    <w:rsid w:val="00F545BA"/>
    <w:rsid w:val="00F5468C"/>
    <w:rsid w:val="00F54DEE"/>
    <w:rsid w:val="00F54E29"/>
    <w:rsid w:val="00F5532E"/>
    <w:rsid w:val="00F556E7"/>
    <w:rsid w:val="00F55BC5"/>
    <w:rsid w:val="00F55D61"/>
    <w:rsid w:val="00F55ECA"/>
    <w:rsid w:val="00F56296"/>
    <w:rsid w:val="00F56A15"/>
    <w:rsid w:val="00F56B8E"/>
    <w:rsid w:val="00F56CA0"/>
    <w:rsid w:val="00F56F10"/>
    <w:rsid w:val="00F56F90"/>
    <w:rsid w:val="00F57220"/>
    <w:rsid w:val="00F57DAF"/>
    <w:rsid w:val="00F608C2"/>
    <w:rsid w:val="00F60E5F"/>
    <w:rsid w:val="00F611CD"/>
    <w:rsid w:val="00F6221B"/>
    <w:rsid w:val="00F62522"/>
    <w:rsid w:val="00F6275C"/>
    <w:rsid w:val="00F629D9"/>
    <w:rsid w:val="00F62BA2"/>
    <w:rsid w:val="00F6363F"/>
    <w:rsid w:val="00F6380B"/>
    <w:rsid w:val="00F63822"/>
    <w:rsid w:val="00F638D4"/>
    <w:rsid w:val="00F63D70"/>
    <w:rsid w:val="00F63F77"/>
    <w:rsid w:val="00F65041"/>
    <w:rsid w:val="00F651B3"/>
    <w:rsid w:val="00F653E1"/>
    <w:rsid w:val="00F655AB"/>
    <w:rsid w:val="00F65653"/>
    <w:rsid w:val="00F65C60"/>
    <w:rsid w:val="00F65FA9"/>
    <w:rsid w:val="00F65FD3"/>
    <w:rsid w:val="00F667F1"/>
    <w:rsid w:val="00F66941"/>
    <w:rsid w:val="00F669B4"/>
    <w:rsid w:val="00F66B11"/>
    <w:rsid w:val="00F66C07"/>
    <w:rsid w:val="00F66C26"/>
    <w:rsid w:val="00F674B9"/>
    <w:rsid w:val="00F67E17"/>
    <w:rsid w:val="00F70148"/>
    <w:rsid w:val="00F70921"/>
    <w:rsid w:val="00F70A0E"/>
    <w:rsid w:val="00F70EA0"/>
    <w:rsid w:val="00F712AD"/>
    <w:rsid w:val="00F713CF"/>
    <w:rsid w:val="00F718DB"/>
    <w:rsid w:val="00F71EA8"/>
    <w:rsid w:val="00F71FB6"/>
    <w:rsid w:val="00F72238"/>
    <w:rsid w:val="00F723BF"/>
    <w:rsid w:val="00F7278A"/>
    <w:rsid w:val="00F72830"/>
    <w:rsid w:val="00F729D4"/>
    <w:rsid w:val="00F72A2B"/>
    <w:rsid w:val="00F731B5"/>
    <w:rsid w:val="00F73B01"/>
    <w:rsid w:val="00F73F95"/>
    <w:rsid w:val="00F73FAF"/>
    <w:rsid w:val="00F7416C"/>
    <w:rsid w:val="00F74BA4"/>
    <w:rsid w:val="00F75067"/>
    <w:rsid w:val="00F751C2"/>
    <w:rsid w:val="00F75211"/>
    <w:rsid w:val="00F7545E"/>
    <w:rsid w:val="00F75551"/>
    <w:rsid w:val="00F7561A"/>
    <w:rsid w:val="00F7610B"/>
    <w:rsid w:val="00F76322"/>
    <w:rsid w:val="00F764F8"/>
    <w:rsid w:val="00F76669"/>
    <w:rsid w:val="00F76E70"/>
    <w:rsid w:val="00F76F31"/>
    <w:rsid w:val="00F77290"/>
    <w:rsid w:val="00F800D4"/>
    <w:rsid w:val="00F8047F"/>
    <w:rsid w:val="00F807D9"/>
    <w:rsid w:val="00F80A54"/>
    <w:rsid w:val="00F80C82"/>
    <w:rsid w:val="00F80D47"/>
    <w:rsid w:val="00F80E6D"/>
    <w:rsid w:val="00F8139C"/>
    <w:rsid w:val="00F819F8"/>
    <w:rsid w:val="00F81A12"/>
    <w:rsid w:val="00F81C97"/>
    <w:rsid w:val="00F81DDF"/>
    <w:rsid w:val="00F82943"/>
    <w:rsid w:val="00F8352F"/>
    <w:rsid w:val="00F8374C"/>
    <w:rsid w:val="00F83B3E"/>
    <w:rsid w:val="00F83F22"/>
    <w:rsid w:val="00F840BB"/>
    <w:rsid w:val="00F842AB"/>
    <w:rsid w:val="00F84CBD"/>
    <w:rsid w:val="00F85A0C"/>
    <w:rsid w:val="00F861E4"/>
    <w:rsid w:val="00F86220"/>
    <w:rsid w:val="00F8688F"/>
    <w:rsid w:val="00F86DDB"/>
    <w:rsid w:val="00F86F45"/>
    <w:rsid w:val="00F8714D"/>
    <w:rsid w:val="00F87354"/>
    <w:rsid w:val="00F877EF"/>
    <w:rsid w:val="00F877F6"/>
    <w:rsid w:val="00F90090"/>
    <w:rsid w:val="00F90792"/>
    <w:rsid w:val="00F908A9"/>
    <w:rsid w:val="00F90E2D"/>
    <w:rsid w:val="00F9152F"/>
    <w:rsid w:val="00F915E9"/>
    <w:rsid w:val="00F91671"/>
    <w:rsid w:val="00F928E5"/>
    <w:rsid w:val="00F92E27"/>
    <w:rsid w:val="00F933B1"/>
    <w:rsid w:val="00F939D7"/>
    <w:rsid w:val="00F93A1F"/>
    <w:rsid w:val="00F93D74"/>
    <w:rsid w:val="00F94078"/>
    <w:rsid w:val="00F94586"/>
    <w:rsid w:val="00F94F2F"/>
    <w:rsid w:val="00F95229"/>
    <w:rsid w:val="00F95946"/>
    <w:rsid w:val="00F966C5"/>
    <w:rsid w:val="00F973BC"/>
    <w:rsid w:val="00F9746F"/>
    <w:rsid w:val="00F97677"/>
    <w:rsid w:val="00F977DA"/>
    <w:rsid w:val="00F97928"/>
    <w:rsid w:val="00F97C14"/>
    <w:rsid w:val="00FA0735"/>
    <w:rsid w:val="00FA09E8"/>
    <w:rsid w:val="00FA0A08"/>
    <w:rsid w:val="00FA0C47"/>
    <w:rsid w:val="00FA0F2D"/>
    <w:rsid w:val="00FA17E4"/>
    <w:rsid w:val="00FA1AA5"/>
    <w:rsid w:val="00FA1B04"/>
    <w:rsid w:val="00FA24FF"/>
    <w:rsid w:val="00FA25F7"/>
    <w:rsid w:val="00FA2A79"/>
    <w:rsid w:val="00FA2EBC"/>
    <w:rsid w:val="00FA301D"/>
    <w:rsid w:val="00FA34D4"/>
    <w:rsid w:val="00FA3597"/>
    <w:rsid w:val="00FA41E3"/>
    <w:rsid w:val="00FA4254"/>
    <w:rsid w:val="00FA4C05"/>
    <w:rsid w:val="00FA4EF7"/>
    <w:rsid w:val="00FA5315"/>
    <w:rsid w:val="00FA5A34"/>
    <w:rsid w:val="00FA5BE8"/>
    <w:rsid w:val="00FA6026"/>
    <w:rsid w:val="00FA61F6"/>
    <w:rsid w:val="00FA6423"/>
    <w:rsid w:val="00FA66A4"/>
    <w:rsid w:val="00FA675E"/>
    <w:rsid w:val="00FA6976"/>
    <w:rsid w:val="00FA6C56"/>
    <w:rsid w:val="00FA7128"/>
    <w:rsid w:val="00FA7268"/>
    <w:rsid w:val="00FA7389"/>
    <w:rsid w:val="00FA7929"/>
    <w:rsid w:val="00FA7AEC"/>
    <w:rsid w:val="00FA7D9C"/>
    <w:rsid w:val="00FA7E57"/>
    <w:rsid w:val="00FA7EEB"/>
    <w:rsid w:val="00FB069A"/>
    <w:rsid w:val="00FB0804"/>
    <w:rsid w:val="00FB09D6"/>
    <w:rsid w:val="00FB0C9C"/>
    <w:rsid w:val="00FB1736"/>
    <w:rsid w:val="00FB1DA1"/>
    <w:rsid w:val="00FB1DB9"/>
    <w:rsid w:val="00FB2271"/>
    <w:rsid w:val="00FB2BD6"/>
    <w:rsid w:val="00FB2CCC"/>
    <w:rsid w:val="00FB2E05"/>
    <w:rsid w:val="00FB2E26"/>
    <w:rsid w:val="00FB33E8"/>
    <w:rsid w:val="00FB35CD"/>
    <w:rsid w:val="00FB3AA2"/>
    <w:rsid w:val="00FB3E3E"/>
    <w:rsid w:val="00FB4C3F"/>
    <w:rsid w:val="00FB5486"/>
    <w:rsid w:val="00FB5489"/>
    <w:rsid w:val="00FB563E"/>
    <w:rsid w:val="00FB632F"/>
    <w:rsid w:val="00FB68A7"/>
    <w:rsid w:val="00FB6C61"/>
    <w:rsid w:val="00FB71FB"/>
    <w:rsid w:val="00FB7BB8"/>
    <w:rsid w:val="00FB7FD4"/>
    <w:rsid w:val="00FC0584"/>
    <w:rsid w:val="00FC0605"/>
    <w:rsid w:val="00FC0740"/>
    <w:rsid w:val="00FC1028"/>
    <w:rsid w:val="00FC1466"/>
    <w:rsid w:val="00FC1A82"/>
    <w:rsid w:val="00FC1D1F"/>
    <w:rsid w:val="00FC2222"/>
    <w:rsid w:val="00FC2A96"/>
    <w:rsid w:val="00FC2D03"/>
    <w:rsid w:val="00FC2EA8"/>
    <w:rsid w:val="00FC2F94"/>
    <w:rsid w:val="00FC3031"/>
    <w:rsid w:val="00FC3EA0"/>
    <w:rsid w:val="00FC3FF1"/>
    <w:rsid w:val="00FC41F6"/>
    <w:rsid w:val="00FC4688"/>
    <w:rsid w:val="00FC4E7D"/>
    <w:rsid w:val="00FC5031"/>
    <w:rsid w:val="00FC5691"/>
    <w:rsid w:val="00FC56A7"/>
    <w:rsid w:val="00FC58F2"/>
    <w:rsid w:val="00FC5BF8"/>
    <w:rsid w:val="00FC61AD"/>
    <w:rsid w:val="00FC61DE"/>
    <w:rsid w:val="00FC6823"/>
    <w:rsid w:val="00FC707F"/>
    <w:rsid w:val="00FC7686"/>
    <w:rsid w:val="00FC76DA"/>
    <w:rsid w:val="00FC79F7"/>
    <w:rsid w:val="00FC7C09"/>
    <w:rsid w:val="00FD056F"/>
    <w:rsid w:val="00FD05D9"/>
    <w:rsid w:val="00FD07D3"/>
    <w:rsid w:val="00FD0AA4"/>
    <w:rsid w:val="00FD0BBB"/>
    <w:rsid w:val="00FD0CEE"/>
    <w:rsid w:val="00FD121D"/>
    <w:rsid w:val="00FD1506"/>
    <w:rsid w:val="00FD163F"/>
    <w:rsid w:val="00FD180C"/>
    <w:rsid w:val="00FD1DAE"/>
    <w:rsid w:val="00FD2278"/>
    <w:rsid w:val="00FD24D0"/>
    <w:rsid w:val="00FD27E6"/>
    <w:rsid w:val="00FD2F00"/>
    <w:rsid w:val="00FD2FF2"/>
    <w:rsid w:val="00FD3179"/>
    <w:rsid w:val="00FD35DF"/>
    <w:rsid w:val="00FD42FD"/>
    <w:rsid w:val="00FD49BE"/>
    <w:rsid w:val="00FD51B7"/>
    <w:rsid w:val="00FD5AF6"/>
    <w:rsid w:val="00FD65BA"/>
    <w:rsid w:val="00FD68CD"/>
    <w:rsid w:val="00FD6BC0"/>
    <w:rsid w:val="00FD6D59"/>
    <w:rsid w:val="00FD7002"/>
    <w:rsid w:val="00FD7710"/>
    <w:rsid w:val="00FD7C3D"/>
    <w:rsid w:val="00FE0C4F"/>
    <w:rsid w:val="00FE197B"/>
    <w:rsid w:val="00FE1A47"/>
    <w:rsid w:val="00FE1B24"/>
    <w:rsid w:val="00FE2E9A"/>
    <w:rsid w:val="00FE3171"/>
    <w:rsid w:val="00FE34E4"/>
    <w:rsid w:val="00FE3BAD"/>
    <w:rsid w:val="00FE3E59"/>
    <w:rsid w:val="00FE4081"/>
    <w:rsid w:val="00FE4372"/>
    <w:rsid w:val="00FE4BB6"/>
    <w:rsid w:val="00FE4D0B"/>
    <w:rsid w:val="00FE4DBA"/>
    <w:rsid w:val="00FE4F9B"/>
    <w:rsid w:val="00FE5345"/>
    <w:rsid w:val="00FE553F"/>
    <w:rsid w:val="00FE5AE8"/>
    <w:rsid w:val="00FE5E9F"/>
    <w:rsid w:val="00FE5F9F"/>
    <w:rsid w:val="00FE7090"/>
    <w:rsid w:val="00FE7273"/>
    <w:rsid w:val="00FE7391"/>
    <w:rsid w:val="00FE7DB8"/>
    <w:rsid w:val="00FF0208"/>
    <w:rsid w:val="00FF04B9"/>
    <w:rsid w:val="00FF09A2"/>
    <w:rsid w:val="00FF0BD5"/>
    <w:rsid w:val="00FF160F"/>
    <w:rsid w:val="00FF24DE"/>
    <w:rsid w:val="00FF2B8E"/>
    <w:rsid w:val="00FF3506"/>
    <w:rsid w:val="00FF37E1"/>
    <w:rsid w:val="00FF39C1"/>
    <w:rsid w:val="00FF4DB4"/>
    <w:rsid w:val="00FF503F"/>
    <w:rsid w:val="00FF5104"/>
    <w:rsid w:val="00FF596C"/>
    <w:rsid w:val="00FF5A1A"/>
    <w:rsid w:val="00FF5BBD"/>
    <w:rsid w:val="00FF5C98"/>
    <w:rsid w:val="00FF5F73"/>
    <w:rsid w:val="00FF624B"/>
    <w:rsid w:val="00FF69CA"/>
    <w:rsid w:val="00FF6B98"/>
    <w:rsid w:val="00FF7623"/>
    <w:rsid w:val="00FF7B30"/>
    <w:rsid w:val="00FF7FCA"/>
  </w:rsids>
  <m:mathPr>
    <m:mathFont m:val="Cambria Math"/>
    <m:brkBin m:val="before"/>
    <m:brkBinSub m:val="--"/>
    <m:smallFrac m:val="0"/>
    <m:dispDef/>
    <m:lMargin m:val="0"/>
    <m:rMargin m:val="0"/>
    <m:defJc m:val="centerGroup"/>
    <m:wrapIndent m:val="1440"/>
    <m:intLim m:val="subSup"/>
    <m:naryLim m:val="undOvr"/>
  </m:mathPr>
  <w:themeFontLang w:val="es-G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691EF"/>
  <w15:docId w15:val="{3D98A53F-5F61-4B62-A335-99F32B03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D61"/>
    <w:pPr>
      <w:spacing w:after="0" w:line="240" w:lineRule="auto"/>
      <w:jc w:val="both"/>
    </w:pPr>
    <w:rPr>
      <w:rFonts w:ascii="Times New Roman" w:eastAsiaTheme="minorEastAsia" w:hAnsi="Times New Roman"/>
      <w:szCs w:val="24"/>
      <w:lang w:eastAsia="es-ES"/>
    </w:rPr>
  </w:style>
  <w:style w:type="paragraph" w:styleId="Ttulo1">
    <w:name w:val="heading 1"/>
    <w:basedOn w:val="Normal"/>
    <w:next w:val="Normal"/>
    <w:link w:val="Ttulo1Car"/>
    <w:uiPriority w:val="9"/>
    <w:qFormat/>
    <w:rsid w:val="003258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64BA9"/>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C047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64BA9"/>
    <w:rPr>
      <w:rFonts w:asciiTheme="majorHAnsi" w:eastAsiaTheme="majorEastAsia" w:hAnsiTheme="majorHAnsi" w:cstheme="majorBidi"/>
      <w:b/>
      <w:bCs/>
      <w:color w:val="4F81BD" w:themeColor="accent1"/>
      <w:sz w:val="26"/>
      <w:szCs w:val="26"/>
      <w:lang w:val="es-ES_tradnl" w:eastAsia="es-ES"/>
    </w:rPr>
  </w:style>
  <w:style w:type="paragraph" w:styleId="Prrafodelista">
    <w:name w:val="List Paragraph"/>
    <w:basedOn w:val="Normal"/>
    <w:uiPriority w:val="34"/>
    <w:qFormat/>
    <w:rsid w:val="00E97769"/>
    <w:pPr>
      <w:ind w:left="720"/>
      <w:contextualSpacing/>
    </w:pPr>
    <w:rPr>
      <w:rFonts w:eastAsiaTheme="minorHAnsi"/>
      <w:sz w:val="16"/>
      <w:szCs w:val="22"/>
      <w:lang w:eastAsia="en-US"/>
    </w:rPr>
  </w:style>
  <w:style w:type="paragraph" w:customStyle="1" w:styleId="Default">
    <w:name w:val="Default"/>
    <w:rsid w:val="00D43598"/>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D43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68CD"/>
    <w:pPr>
      <w:spacing w:before="100" w:beforeAutospacing="1" w:after="100" w:afterAutospacing="1"/>
    </w:pPr>
    <w:rPr>
      <w:rFonts w:cs="Times New Roman"/>
      <w:lang w:eastAsia="es-GT"/>
    </w:rPr>
  </w:style>
  <w:style w:type="paragraph" w:styleId="Textonotapie">
    <w:name w:val="footnote text"/>
    <w:basedOn w:val="Normal"/>
    <w:link w:val="TextonotapieCar"/>
    <w:uiPriority w:val="99"/>
    <w:semiHidden/>
    <w:unhideWhenUsed/>
    <w:rsid w:val="000B5E1C"/>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0B5E1C"/>
    <w:rPr>
      <w:sz w:val="20"/>
      <w:szCs w:val="20"/>
    </w:rPr>
  </w:style>
  <w:style w:type="character" w:styleId="Refdenotaalpie">
    <w:name w:val="footnote reference"/>
    <w:basedOn w:val="Fuentedeprrafopredeter"/>
    <w:uiPriority w:val="99"/>
    <w:semiHidden/>
    <w:unhideWhenUsed/>
    <w:rsid w:val="000B5E1C"/>
    <w:rPr>
      <w:vertAlign w:val="superscript"/>
    </w:rPr>
  </w:style>
  <w:style w:type="table" w:styleId="Cuadrculaclara-nfasis1">
    <w:name w:val="Light Grid Accent 1"/>
    <w:basedOn w:val="Tablanormal"/>
    <w:uiPriority w:val="62"/>
    <w:rsid w:val="000B5E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claro-nfasis5">
    <w:name w:val="Light Shading Accent 5"/>
    <w:basedOn w:val="Tablanormal"/>
    <w:uiPriority w:val="60"/>
    <w:rsid w:val="000B5E1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inespaciado">
    <w:name w:val="No Spacing"/>
    <w:link w:val="SinespaciadoCar"/>
    <w:uiPriority w:val="1"/>
    <w:qFormat/>
    <w:rsid w:val="000B5E1C"/>
    <w:pPr>
      <w:spacing w:after="0" w:line="240" w:lineRule="auto"/>
    </w:pPr>
  </w:style>
  <w:style w:type="character" w:customStyle="1" w:styleId="SinespaciadoCar">
    <w:name w:val="Sin espaciado Car"/>
    <w:basedOn w:val="Fuentedeprrafopredeter"/>
    <w:link w:val="Sinespaciado"/>
    <w:uiPriority w:val="1"/>
    <w:locked/>
    <w:rsid w:val="000B5E1C"/>
  </w:style>
  <w:style w:type="paragraph" w:styleId="Ttulo">
    <w:name w:val="Title"/>
    <w:basedOn w:val="Normal"/>
    <w:next w:val="Normal"/>
    <w:link w:val="TtuloCar"/>
    <w:uiPriority w:val="10"/>
    <w:qFormat/>
    <w:rsid w:val="00325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s-GT"/>
    </w:rPr>
  </w:style>
  <w:style w:type="character" w:customStyle="1" w:styleId="TtuloCar">
    <w:name w:val="Título Car"/>
    <w:basedOn w:val="Fuentedeprrafopredeter"/>
    <w:link w:val="Ttulo"/>
    <w:uiPriority w:val="10"/>
    <w:rsid w:val="0032588B"/>
    <w:rPr>
      <w:rFonts w:asciiTheme="majorHAnsi" w:eastAsiaTheme="majorEastAsia" w:hAnsiTheme="majorHAnsi" w:cstheme="majorBidi"/>
      <w:color w:val="17365D" w:themeColor="text2" w:themeShade="BF"/>
      <w:spacing w:val="5"/>
      <w:kern w:val="28"/>
      <w:sz w:val="52"/>
      <w:szCs w:val="52"/>
      <w:lang w:eastAsia="es-GT"/>
    </w:rPr>
  </w:style>
  <w:style w:type="paragraph" w:styleId="Subttulo">
    <w:name w:val="Subtitle"/>
    <w:basedOn w:val="Normal"/>
    <w:next w:val="Normal"/>
    <w:link w:val="SubttuloCar"/>
    <w:uiPriority w:val="11"/>
    <w:qFormat/>
    <w:rsid w:val="0032588B"/>
    <w:pPr>
      <w:numPr>
        <w:ilvl w:val="1"/>
      </w:numPr>
      <w:spacing w:after="200" w:line="276" w:lineRule="auto"/>
    </w:pPr>
    <w:rPr>
      <w:rFonts w:asciiTheme="majorHAnsi" w:eastAsiaTheme="majorEastAsia" w:hAnsiTheme="majorHAnsi" w:cstheme="majorBidi"/>
      <w:i/>
      <w:iCs/>
      <w:color w:val="4F81BD" w:themeColor="accent1"/>
      <w:spacing w:val="15"/>
      <w:lang w:eastAsia="es-GT"/>
    </w:rPr>
  </w:style>
  <w:style w:type="character" w:customStyle="1" w:styleId="SubttuloCar">
    <w:name w:val="Subtítulo Car"/>
    <w:basedOn w:val="Fuentedeprrafopredeter"/>
    <w:link w:val="Subttulo"/>
    <w:uiPriority w:val="11"/>
    <w:rsid w:val="0032588B"/>
    <w:rPr>
      <w:rFonts w:asciiTheme="majorHAnsi" w:eastAsiaTheme="majorEastAsia" w:hAnsiTheme="majorHAnsi" w:cstheme="majorBidi"/>
      <w:i/>
      <w:iCs/>
      <w:color w:val="4F81BD" w:themeColor="accent1"/>
      <w:spacing w:val="15"/>
      <w:sz w:val="24"/>
      <w:szCs w:val="24"/>
      <w:lang w:eastAsia="es-GT"/>
    </w:rPr>
  </w:style>
  <w:style w:type="character" w:customStyle="1" w:styleId="Ttulo1Car">
    <w:name w:val="Título 1 Car"/>
    <w:basedOn w:val="Fuentedeprrafopredeter"/>
    <w:link w:val="Ttulo1"/>
    <w:uiPriority w:val="9"/>
    <w:rsid w:val="0032588B"/>
    <w:rPr>
      <w:rFonts w:asciiTheme="majorHAnsi" w:eastAsiaTheme="majorEastAsia" w:hAnsiTheme="majorHAnsi" w:cstheme="majorBidi"/>
      <w:b/>
      <w:bCs/>
      <w:color w:val="365F91" w:themeColor="accent1" w:themeShade="BF"/>
      <w:sz w:val="28"/>
      <w:szCs w:val="28"/>
      <w:lang w:val="es-ES_tradnl" w:eastAsia="es-ES"/>
    </w:rPr>
  </w:style>
  <w:style w:type="paragraph" w:styleId="TtuloTDC">
    <w:name w:val="TOC Heading"/>
    <w:basedOn w:val="Ttulo1"/>
    <w:next w:val="Normal"/>
    <w:uiPriority w:val="39"/>
    <w:semiHidden/>
    <w:unhideWhenUsed/>
    <w:qFormat/>
    <w:rsid w:val="0032588B"/>
    <w:pPr>
      <w:spacing w:line="276" w:lineRule="auto"/>
      <w:outlineLvl w:val="9"/>
    </w:pPr>
    <w:rPr>
      <w:lang w:eastAsia="es-GT"/>
    </w:rPr>
  </w:style>
  <w:style w:type="paragraph" w:styleId="TDC1">
    <w:name w:val="toc 1"/>
    <w:basedOn w:val="Normal"/>
    <w:next w:val="Normal"/>
    <w:autoRedefine/>
    <w:uiPriority w:val="39"/>
    <w:unhideWhenUsed/>
    <w:rsid w:val="00594050"/>
    <w:pPr>
      <w:tabs>
        <w:tab w:val="left" w:pos="440"/>
        <w:tab w:val="right" w:leader="dot" w:pos="9394"/>
      </w:tabs>
      <w:spacing w:after="100"/>
    </w:pPr>
    <w:rPr>
      <w:rFonts w:eastAsiaTheme="majorEastAsia" w:cs="Times New Roman"/>
      <w:b/>
      <w:bCs/>
      <w:noProof/>
    </w:rPr>
  </w:style>
  <w:style w:type="paragraph" w:styleId="TDC2">
    <w:name w:val="toc 2"/>
    <w:basedOn w:val="Normal"/>
    <w:next w:val="Normal"/>
    <w:autoRedefine/>
    <w:uiPriority w:val="39"/>
    <w:unhideWhenUsed/>
    <w:rsid w:val="0054409D"/>
    <w:pPr>
      <w:tabs>
        <w:tab w:val="left" w:pos="880"/>
        <w:tab w:val="right" w:leader="dot" w:pos="9356"/>
      </w:tabs>
      <w:spacing w:after="100"/>
      <w:ind w:left="709" w:hanging="567"/>
    </w:pPr>
  </w:style>
  <w:style w:type="character" w:styleId="Hipervnculo">
    <w:name w:val="Hyperlink"/>
    <w:basedOn w:val="Fuentedeprrafopredeter"/>
    <w:uiPriority w:val="99"/>
    <w:unhideWhenUsed/>
    <w:rsid w:val="0032588B"/>
    <w:rPr>
      <w:color w:val="0000FF" w:themeColor="hyperlink"/>
      <w:u w:val="single"/>
    </w:rPr>
  </w:style>
  <w:style w:type="paragraph" w:styleId="Encabezado">
    <w:name w:val="header"/>
    <w:basedOn w:val="Normal"/>
    <w:link w:val="EncabezadoCar"/>
    <w:uiPriority w:val="99"/>
    <w:unhideWhenUsed/>
    <w:rsid w:val="00AC45C7"/>
    <w:pPr>
      <w:tabs>
        <w:tab w:val="center" w:pos="4419"/>
        <w:tab w:val="right" w:pos="8838"/>
      </w:tabs>
    </w:pPr>
  </w:style>
  <w:style w:type="character" w:customStyle="1" w:styleId="EncabezadoCar">
    <w:name w:val="Encabezado Car"/>
    <w:basedOn w:val="Fuentedeprrafopredeter"/>
    <w:link w:val="Encabezado"/>
    <w:uiPriority w:val="99"/>
    <w:rsid w:val="00AC45C7"/>
    <w:rPr>
      <w:rFonts w:eastAsiaTheme="minorEastAsia"/>
      <w:sz w:val="24"/>
      <w:szCs w:val="24"/>
      <w:lang w:val="es-ES_tradnl" w:eastAsia="es-ES"/>
    </w:rPr>
  </w:style>
  <w:style w:type="paragraph" w:styleId="Piedepgina">
    <w:name w:val="footer"/>
    <w:basedOn w:val="Normal"/>
    <w:link w:val="PiedepginaCar"/>
    <w:uiPriority w:val="99"/>
    <w:unhideWhenUsed/>
    <w:rsid w:val="00AC45C7"/>
    <w:pPr>
      <w:tabs>
        <w:tab w:val="center" w:pos="4419"/>
        <w:tab w:val="right" w:pos="8838"/>
      </w:tabs>
    </w:pPr>
  </w:style>
  <w:style w:type="character" w:customStyle="1" w:styleId="PiedepginaCar">
    <w:name w:val="Pie de página Car"/>
    <w:basedOn w:val="Fuentedeprrafopredeter"/>
    <w:link w:val="Piedepgina"/>
    <w:uiPriority w:val="99"/>
    <w:rsid w:val="00AC45C7"/>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2B7931"/>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931"/>
    <w:rPr>
      <w:rFonts w:ascii="Tahoma" w:eastAsiaTheme="minorEastAsia" w:hAnsi="Tahoma" w:cs="Tahoma"/>
      <w:sz w:val="16"/>
      <w:szCs w:val="16"/>
      <w:lang w:val="es-ES_tradnl" w:eastAsia="es-ES"/>
    </w:rPr>
  </w:style>
  <w:style w:type="character" w:customStyle="1" w:styleId="Ttulo3Car">
    <w:name w:val="Título 3 Car"/>
    <w:basedOn w:val="Fuentedeprrafopredeter"/>
    <w:link w:val="Ttulo3"/>
    <w:uiPriority w:val="9"/>
    <w:semiHidden/>
    <w:rsid w:val="000C0470"/>
    <w:rPr>
      <w:rFonts w:asciiTheme="majorHAnsi" w:eastAsiaTheme="majorEastAsia" w:hAnsiTheme="majorHAnsi" w:cstheme="majorBidi"/>
      <w:color w:val="243F60" w:themeColor="accent1" w:themeShade="7F"/>
      <w:sz w:val="24"/>
      <w:szCs w:val="24"/>
      <w:lang w:val="es-ES_tradnl" w:eastAsia="es-ES"/>
    </w:rPr>
  </w:style>
  <w:style w:type="paragraph" w:customStyle="1" w:styleId="Ttulo11">
    <w:name w:val="Título 11"/>
    <w:basedOn w:val="Normal"/>
    <w:rsid w:val="000C0470"/>
    <w:pPr>
      <w:numPr>
        <w:numId w:val="23"/>
      </w:numPr>
    </w:pPr>
  </w:style>
  <w:style w:type="paragraph" w:customStyle="1" w:styleId="Ttulo21">
    <w:name w:val="Título 21"/>
    <w:basedOn w:val="Normal"/>
    <w:rsid w:val="000C0470"/>
    <w:pPr>
      <w:numPr>
        <w:ilvl w:val="1"/>
        <w:numId w:val="23"/>
      </w:numPr>
    </w:pPr>
  </w:style>
  <w:style w:type="paragraph" w:customStyle="1" w:styleId="Ttulo31">
    <w:name w:val="Título 31"/>
    <w:basedOn w:val="Normal"/>
    <w:rsid w:val="000C0470"/>
    <w:pPr>
      <w:numPr>
        <w:ilvl w:val="2"/>
        <w:numId w:val="23"/>
      </w:numPr>
    </w:pPr>
  </w:style>
  <w:style w:type="paragraph" w:customStyle="1" w:styleId="Ttulo41">
    <w:name w:val="Título 41"/>
    <w:basedOn w:val="Normal"/>
    <w:rsid w:val="000C0470"/>
    <w:pPr>
      <w:numPr>
        <w:ilvl w:val="3"/>
        <w:numId w:val="23"/>
      </w:numPr>
    </w:pPr>
  </w:style>
  <w:style w:type="paragraph" w:customStyle="1" w:styleId="Ttulo51">
    <w:name w:val="Título 51"/>
    <w:basedOn w:val="Normal"/>
    <w:rsid w:val="000C0470"/>
    <w:pPr>
      <w:numPr>
        <w:ilvl w:val="4"/>
        <w:numId w:val="23"/>
      </w:numPr>
    </w:pPr>
  </w:style>
  <w:style w:type="paragraph" w:customStyle="1" w:styleId="Ttulo61">
    <w:name w:val="Título 61"/>
    <w:basedOn w:val="Normal"/>
    <w:rsid w:val="000C0470"/>
    <w:pPr>
      <w:numPr>
        <w:ilvl w:val="5"/>
        <w:numId w:val="23"/>
      </w:numPr>
    </w:pPr>
  </w:style>
  <w:style w:type="paragraph" w:customStyle="1" w:styleId="Ttulo71">
    <w:name w:val="Título 71"/>
    <w:basedOn w:val="Normal"/>
    <w:rsid w:val="000C0470"/>
    <w:pPr>
      <w:numPr>
        <w:ilvl w:val="6"/>
        <w:numId w:val="23"/>
      </w:numPr>
    </w:pPr>
  </w:style>
  <w:style w:type="paragraph" w:customStyle="1" w:styleId="Ttulo81">
    <w:name w:val="Título 81"/>
    <w:basedOn w:val="Normal"/>
    <w:rsid w:val="000C0470"/>
    <w:pPr>
      <w:numPr>
        <w:ilvl w:val="7"/>
        <w:numId w:val="23"/>
      </w:numPr>
    </w:pPr>
  </w:style>
  <w:style w:type="paragraph" w:customStyle="1" w:styleId="Ttulo91">
    <w:name w:val="Título 91"/>
    <w:basedOn w:val="Normal"/>
    <w:rsid w:val="000C0470"/>
    <w:pPr>
      <w:numPr>
        <w:ilvl w:val="8"/>
        <w:numId w:val="23"/>
      </w:numPr>
    </w:pPr>
  </w:style>
  <w:style w:type="paragraph" w:styleId="TDC3">
    <w:name w:val="toc 3"/>
    <w:basedOn w:val="Normal"/>
    <w:next w:val="Normal"/>
    <w:autoRedefine/>
    <w:uiPriority w:val="39"/>
    <w:unhideWhenUsed/>
    <w:rsid w:val="0054409D"/>
    <w:pPr>
      <w:tabs>
        <w:tab w:val="left" w:pos="1134"/>
        <w:tab w:val="right" w:leader="dot" w:pos="9394"/>
      </w:tabs>
      <w:spacing w:after="100"/>
      <w:ind w:left="1134" w:hanging="708"/>
    </w:pPr>
  </w:style>
  <w:style w:type="paragraph" w:customStyle="1" w:styleId="BodyText2Sgl">
    <w:name w:val="Body Text 2 Sgl"/>
    <w:basedOn w:val="Normal"/>
    <w:qFormat/>
    <w:rsid w:val="00EE52DF"/>
    <w:pPr>
      <w:spacing w:after="240"/>
      <w:ind w:firstLine="720"/>
    </w:pPr>
    <w:rPr>
      <w:rFonts w:eastAsiaTheme="minorHAnsi"/>
      <w:sz w:val="20"/>
      <w:lang w:val="en-US" w:eastAsia="en-US"/>
    </w:rPr>
  </w:style>
  <w:style w:type="paragraph" w:styleId="Textoindependiente">
    <w:name w:val="Body Text"/>
    <w:basedOn w:val="Normal"/>
    <w:link w:val="TextoindependienteCar"/>
    <w:uiPriority w:val="99"/>
    <w:unhideWhenUsed/>
    <w:rsid w:val="00EE52DF"/>
    <w:pPr>
      <w:spacing w:after="120" w:line="259" w:lineRule="auto"/>
    </w:pPr>
    <w:rPr>
      <w:rFonts w:eastAsiaTheme="minorHAnsi"/>
      <w:szCs w:val="22"/>
      <w:lang w:eastAsia="en-US"/>
    </w:rPr>
  </w:style>
  <w:style w:type="character" w:customStyle="1" w:styleId="TextoindependienteCar">
    <w:name w:val="Texto independiente Car"/>
    <w:basedOn w:val="Fuentedeprrafopredeter"/>
    <w:link w:val="Textoindependiente"/>
    <w:uiPriority w:val="99"/>
    <w:rsid w:val="00EE52DF"/>
  </w:style>
  <w:style w:type="character" w:styleId="Refdecomentario">
    <w:name w:val="annotation reference"/>
    <w:basedOn w:val="Fuentedeprrafopredeter"/>
    <w:uiPriority w:val="99"/>
    <w:semiHidden/>
    <w:unhideWhenUsed/>
    <w:rsid w:val="00082E65"/>
    <w:rPr>
      <w:sz w:val="16"/>
      <w:szCs w:val="16"/>
    </w:rPr>
  </w:style>
  <w:style w:type="paragraph" w:styleId="Textocomentario">
    <w:name w:val="annotation text"/>
    <w:basedOn w:val="Normal"/>
    <w:link w:val="TextocomentarioCar"/>
    <w:uiPriority w:val="99"/>
    <w:semiHidden/>
    <w:unhideWhenUsed/>
    <w:rsid w:val="00082E65"/>
    <w:rPr>
      <w:sz w:val="20"/>
      <w:szCs w:val="20"/>
    </w:rPr>
  </w:style>
  <w:style w:type="character" w:customStyle="1" w:styleId="TextocomentarioCar">
    <w:name w:val="Texto comentario Car"/>
    <w:basedOn w:val="Fuentedeprrafopredeter"/>
    <w:link w:val="Textocomentario"/>
    <w:uiPriority w:val="99"/>
    <w:semiHidden/>
    <w:rsid w:val="00082E65"/>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82E65"/>
    <w:rPr>
      <w:b/>
      <w:bCs/>
    </w:rPr>
  </w:style>
  <w:style w:type="character" w:customStyle="1" w:styleId="AsuntodelcomentarioCar">
    <w:name w:val="Asunto del comentario Car"/>
    <w:basedOn w:val="TextocomentarioCar"/>
    <w:link w:val="Asuntodelcomentario"/>
    <w:uiPriority w:val="99"/>
    <w:semiHidden/>
    <w:rsid w:val="00082E65"/>
    <w:rPr>
      <w:rFonts w:eastAsiaTheme="minorEastAsia"/>
      <w:b/>
      <w:bCs/>
      <w:sz w:val="20"/>
      <w:szCs w:val="20"/>
      <w:lang w:val="es-ES_tradnl" w:eastAsia="es-ES"/>
    </w:rPr>
  </w:style>
  <w:style w:type="paragraph" w:styleId="Revisin">
    <w:name w:val="Revision"/>
    <w:hidden/>
    <w:uiPriority w:val="99"/>
    <w:semiHidden/>
    <w:rsid w:val="0054409D"/>
    <w:pPr>
      <w:spacing w:after="0" w:line="240" w:lineRule="auto"/>
    </w:pPr>
    <w:rPr>
      <w:rFonts w:eastAsiaTheme="minorEastAsia"/>
      <w:sz w:val="24"/>
      <w:szCs w:val="24"/>
      <w:lang w:val="es-ES_tradnl" w:eastAsia="es-ES"/>
    </w:rPr>
  </w:style>
  <w:style w:type="table" w:styleId="Tablanormal3">
    <w:name w:val="Plain Table 3"/>
    <w:basedOn w:val="Tablanormal"/>
    <w:uiPriority w:val="43"/>
    <w:rsid w:val="00FD31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7concolores-nfasis1">
    <w:name w:val="List Table 7 Colorful Accent 1"/>
    <w:basedOn w:val="Tablanormal"/>
    <w:uiPriority w:val="52"/>
    <w:rsid w:val="00FD317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Textodelmarcadordeposicin">
    <w:name w:val="Placeholder Text"/>
    <w:basedOn w:val="Fuentedeprrafopredeter"/>
    <w:uiPriority w:val="99"/>
    <w:semiHidden/>
    <w:rsid w:val="009B0F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699">
      <w:bodyDiv w:val="1"/>
      <w:marLeft w:val="0"/>
      <w:marRight w:val="0"/>
      <w:marTop w:val="0"/>
      <w:marBottom w:val="0"/>
      <w:divBdr>
        <w:top w:val="none" w:sz="0" w:space="0" w:color="auto"/>
        <w:left w:val="none" w:sz="0" w:space="0" w:color="auto"/>
        <w:bottom w:val="none" w:sz="0" w:space="0" w:color="auto"/>
        <w:right w:val="none" w:sz="0" w:space="0" w:color="auto"/>
      </w:divBdr>
    </w:div>
    <w:div w:id="65929884">
      <w:bodyDiv w:val="1"/>
      <w:marLeft w:val="0"/>
      <w:marRight w:val="0"/>
      <w:marTop w:val="0"/>
      <w:marBottom w:val="0"/>
      <w:divBdr>
        <w:top w:val="none" w:sz="0" w:space="0" w:color="auto"/>
        <w:left w:val="none" w:sz="0" w:space="0" w:color="auto"/>
        <w:bottom w:val="none" w:sz="0" w:space="0" w:color="auto"/>
        <w:right w:val="none" w:sz="0" w:space="0" w:color="auto"/>
      </w:divBdr>
    </w:div>
    <w:div w:id="206840615">
      <w:bodyDiv w:val="1"/>
      <w:marLeft w:val="0"/>
      <w:marRight w:val="0"/>
      <w:marTop w:val="0"/>
      <w:marBottom w:val="0"/>
      <w:divBdr>
        <w:top w:val="none" w:sz="0" w:space="0" w:color="auto"/>
        <w:left w:val="none" w:sz="0" w:space="0" w:color="auto"/>
        <w:bottom w:val="none" w:sz="0" w:space="0" w:color="auto"/>
        <w:right w:val="none" w:sz="0" w:space="0" w:color="auto"/>
      </w:divBdr>
    </w:div>
    <w:div w:id="208031668">
      <w:bodyDiv w:val="1"/>
      <w:marLeft w:val="0"/>
      <w:marRight w:val="0"/>
      <w:marTop w:val="0"/>
      <w:marBottom w:val="0"/>
      <w:divBdr>
        <w:top w:val="none" w:sz="0" w:space="0" w:color="auto"/>
        <w:left w:val="none" w:sz="0" w:space="0" w:color="auto"/>
        <w:bottom w:val="none" w:sz="0" w:space="0" w:color="auto"/>
        <w:right w:val="none" w:sz="0" w:space="0" w:color="auto"/>
      </w:divBdr>
    </w:div>
    <w:div w:id="281689898">
      <w:bodyDiv w:val="1"/>
      <w:marLeft w:val="0"/>
      <w:marRight w:val="0"/>
      <w:marTop w:val="0"/>
      <w:marBottom w:val="0"/>
      <w:divBdr>
        <w:top w:val="none" w:sz="0" w:space="0" w:color="auto"/>
        <w:left w:val="none" w:sz="0" w:space="0" w:color="auto"/>
        <w:bottom w:val="none" w:sz="0" w:space="0" w:color="auto"/>
        <w:right w:val="none" w:sz="0" w:space="0" w:color="auto"/>
      </w:divBdr>
    </w:div>
    <w:div w:id="289480549">
      <w:bodyDiv w:val="1"/>
      <w:marLeft w:val="0"/>
      <w:marRight w:val="0"/>
      <w:marTop w:val="0"/>
      <w:marBottom w:val="0"/>
      <w:divBdr>
        <w:top w:val="none" w:sz="0" w:space="0" w:color="auto"/>
        <w:left w:val="none" w:sz="0" w:space="0" w:color="auto"/>
        <w:bottom w:val="none" w:sz="0" w:space="0" w:color="auto"/>
        <w:right w:val="none" w:sz="0" w:space="0" w:color="auto"/>
      </w:divBdr>
    </w:div>
    <w:div w:id="310988100">
      <w:bodyDiv w:val="1"/>
      <w:marLeft w:val="0"/>
      <w:marRight w:val="0"/>
      <w:marTop w:val="0"/>
      <w:marBottom w:val="0"/>
      <w:divBdr>
        <w:top w:val="none" w:sz="0" w:space="0" w:color="auto"/>
        <w:left w:val="none" w:sz="0" w:space="0" w:color="auto"/>
        <w:bottom w:val="none" w:sz="0" w:space="0" w:color="auto"/>
        <w:right w:val="none" w:sz="0" w:space="0" w:color="auto"/>
      </w:divBdr>
    </w:div>
    <w:div w:id="352264132">
      <w:bodyDiv w:val="1"/>
      <w:marLeft w:val="0"/>
      <w:marRight w:val="0"/>
      <w:marTop w:val="0"/>
      <w:marBottom w:val="0"/>
      <w:divBdr>
        <w:top w:val="none" w:sz="0" w:space="0" w:color="auto"/>
        <w:left w:val="none" w:sz="0" w:space="0" w:color="auto"/>
        <w:bottom w:val="none" w:sz="0" w:space="0" w:color="auto"/>
        <w:right w:val="none" w:sz="0" w:space="0" w:color="auto"/>
      </w:divBdr>
    </w:div>
    <w:div w:id="447234801">
      <w:bodyDiv w:val="1"/>
      <w:marLeft w:val="0"/>
      <w:marRight w:val="0"/>
      <w:marTop w:val="0"/>
      <w:marBottom w:val="0"/>
      <w:divBdr>
        <w:top w:val="none" w:sz="0" w:space="0" w:color="auto"/>
        <w:left w:val="none" w:sz="0" w:space="0" w:color="auto"/>
        <w:bottom w:val="none" w:sz="0" w:space="0" w:color="auto"/>
        <w:right w:val="none" w:sz="0" w:space="0" w:color="auto"/>
      </w:divBdr>
    </w:div>
    <w:div w:id="447435137">
      <w:bodyDiv w:val="1"/>
      <w:marLeft w:val="0"/>
      <w:marRight w:val="0"/>
      <w:marTop w:val="0"/>
      <w:marBottom w:val="0"/>
      <w:divBdr>
        <w:top w:val="none" w:sz="0" w:space="0" w:color="auto"/>
        <w:left w:val="none" w:sz="0" w:space="0" w:color="auto"/>
        <w:bottom w:val="none" w:sz="0" w:space="0" w:color="auto"/>
        <w:right w:val="none" w:sz="0" w:space="0" w:color="auto"/>
      </w:divBdr>
    </w:div>
    <w:div w:id="452797015">
      <w:bodyDiv w:val="1"/>
      <w:marLeft w:val="0"/>
      <w:marRight w:val="0"/>
      <w:marTop w:val="0"/>
      <w:marBottom w:val="0"/>
      <w:divBdr>
        <w:top w:val="none" w:sz="0" w:space="0" w:color="auto"/>
        <w:left w:val="none" w:sz="0" w:space="0" w:color="auto"/>
        <w:bottom w:val="none" w:sz="0" w:space="0" w:color="auto"/>
        <w:right w:val="none" w:sz="0" w:space="0" w:color="auto"/>
      </w:divBdr>
    </w:div>
    <w:div w:id="486481220">
      <w:bodyDiv w:val="1"/>
      <w:marLeft w:val="0"/>
      <w:marRight w:val="0"/>
      <w:marTop w:val="0"/>
      <w:marBottom w:val="0"/>
      <w:divBdr>
        <w:top w:val="none" w:sz="0" w:space="0" w:color="auto"/>
        <w:left w:val="none" w:sz="0" w:space="0" w:color="auto"/>
        <w:bottom w:val="none" w:sz="0" w:space="0" w:color="auto"/>
        <w:right w:val="none" w:sz="0" w:space="0" w:color="auto"/>
      </w:divBdr>
    </w:div>
    <w:div w:id="493037860">
      <w:bodyDiv w:val="1"/>
      <w:marLeft w:val="0"/>
      <w:marRight w:val="0"/>
      <w:marTop w:val="0"/>
      <w:marBottom w:val="0"/>
      <w:divBdr>
        <w:top w:val="none" w:sz="0" w:space="0" w:color="auto"/>
        <w:left w:val="none" w:sz="0" w:space="0" w:color="auto"/>
        <w:bottom w:val="none" w:sz="0" w:space="0" w:color="auto"/>
        <w:right w:val="none" w:sz="0" w:space="0" w:color="auto"/>
      </w:divBdr>
    </w:div>
    <w:div w:id="551356417">
      <w:bodyDiv w:val="1"/>
      <w:marLeft w:val="0"/>
      <w:marRight w:val="0"/>
      <w:marTop w:val="0"/>
      <w:marBottom w:val="0"/>
      <w:divBdr>
        <w:top w:val="none" w:sz="0" w:space="0" w:color="auto"/>
        <w:left w:val="none" w:sz="0" w:space="0" w:color="auto"/>
        <w:bottom w:val="none" w:sz="0" w:space="0" w:color="auto"/>
        <w:right w:val="none" w:sz="0" w:space="0" w:color="auto"/>
      </w:divBdr>
    </w:div>
    <w:div w:id="641885873">
      <w:bodyDiv w:val="1"/>
      <w:marLeft w:val="0"/>
      <w:marRight w:val="0"/>
      <w:marTop w:val="0"/>
      <w:marBottom w:val="0"/>
      <w:divBdr>
        <w:top w:val="none" w:sz="0" w:space="0" w:color="auto"/>
        <w:left w:val="none" w:sz="0" w:space="0" w:color="auto"/>
        <w:bottom w:val="none" w:sz="0" w:space="0" w:color="auto"/>
        <w:right w:val="none" w:sz="0" w:space="0" w:color="auto"/>
      </w:divBdr>
    </w:div>
    <w:div w:id="672680472">
      <w:bodyDiv w:val="1"/>
      <w:marLeft w:val="0"/>
      <w:marRight w:val="0"/>
      <w:marTop w:val="0"/>
      <w:marBottom w:val="0"/>
      <w:divBdr>
        <w:top w:val="none" w:sz="0" w:space="0" w:color="auto"/>
        <w:left w:val="none" w:sz="0" w:space="0" w:color="auto"/>
        <w:bottom w:val="none" w:sz="0" w:space="0" w:color="auto"/>
        <w:right w:val="none" w:sz="0" w:space="0" w:color="auto"/>
      </w:divBdr>
    </w:div>
    <w:div w:id="694312612">
      <w:bodyDiv w:val="1"/>
      <w:marLeft w:val="0"/>
      <w:marRight w:val="0"/>
      <w:marTop w:val="0"/>
      <w:marBottom w:val="0"/>
      <w:divBdr>
        <w:top w:val="none" w:sz="0" w:space="0" w:color="auto"/>
        <w:left w:val="none" w:sz="0" w:space="0" w:color="auto"/>
        <w:bottom w:val="none" w:sz="0" w:space="0" w:color="auto"/>
        <w:right w:val="none" w:sz="0" w:space="0" w:color="auto"/>
      </w:divBdr>
    </w:div>
    <w:div w:id="711147682">
      <w:bodyDiv w:val="1"/>
      <w:marLeft w:val="0"/>
      <w:marRight w:val="0"/>
      <w:marTop w:val="0"/>
      <w:marBottom w:val="0"/>
      <w:divBdr>
        <w:top w:val="none" w:sz="0" w:space="0" w:color="auto"/>
        <w:left w:val="none" w:sz="0" w:space="0" w:color="auto"/>
        <w:bottom w:val="none" w:sz="0" w:space="0" w:color="auto"/>
        <w:right w:val="none" w:sz="0" w:space="0" w:color="auto"/>
      </w:divBdr>
    </w:div>
    <w:div w:id="767505616">
      <w:bodyDiv w:val="1"/>
      <w:marLeft w:val="0"/>
      <w:marRight w:val="0"/>
      <w:marTop w:val="0"/>
      <w:marBottom w:val="0"/>
      <w:divBdr>
        <w:top w:val="none" w:sz="0" w:space="0" w:color="auto"/>
        <w:left w:val="none" w:sz="0" w:space="0" w:color="auto"/>
        <w:bottom w:val="none" w:sz="0" w:space="0" w:color="auto"/>
        <w:right w:val="none" w:sz="0" w:space="0" w:color="auto"/>
      </w:divBdr>
    </w:div>
    <w:div w:id="768620205">
      <w:bodyDiv w:val="1"/>
      <w:marLeft w:val="0"/>
      <w:marRight w:val="0"/>
      <w:marTop w:val="0"/>
      <w:marBottom w:val="0"/>
      <w:divBdr>
        <w:top w:val="none" w:sz="0" w:space="0" w:color="auto"/>
        <w:left w:val="none" w:sz="0" w:space="0" w:color="auto"/>
        <w:bottom w:val="none" w:sz="0" w:space="0" w:color="auto"/>
        <w:right w:val="none" w:sz="0" w:space="0" w:color="auto"/>
      </w:divBdr>
    </w:div>
    <w:div w:id="773591794">
      <w:bodyDiv w:val="1"/>
      <w:marLeft w:val="0"/>
      <w:marRight w:val="0"/>
      <w:marTop w:val="0"/>
      <w:marBottom w:val="0"/>
      <w:divBdr>
        <w:top w:val="none" w:sz="0" w:space="0" w:color="auto"/>
        <w:left w:val="none" w:sz="0" w:space="0" w:color="auto"/>
        <w:bottom w:val="none" w:sz="0" w:space="0" w:color="auto"/>
        <w:right w:val="none" w:sz="0" w:space="0" w:color="auto"/>
      </w:divBdr>
    </w:div>
    <w:div w:id="777871340">
      <w:bodyDiv w:val="1"/>
      <w:marLeft w:val="0"/>
      <w:marRight w:val="0"/>
      <w:marTop w:val="0"/>
      <w:marBottom w:val="0"/>
      <w:divBdr>
        <w:top w:val="none" w:sz="0" w:space="0" w:color="auto"/>
        <w:left w:val="none" w:sz="0" w:space="0" w:color="auto"/>
        <w:bottom w:val="none" w:sz="0" w:space="0" w:color="auto"/>
        <w:right w:val="none" w:sz="0" w:space="0" w:color="auto"/>
      </w:divBdr>
    </w:div>
    <w:div w:id="800881172">
      <w:bodyDiv w:val="1"/>
      <w:marLeft w:val="0"/>
      <w:marRight w:val="0"/>
      <w:marTop w:val="0"/>
      <w:marBottom w:val="0"/>
      <w:divBdr>
        <w:top w:val="none" w:sz="0" w:space="0" w:color="auto"/>
        <w:left w:val="none" w:sz="0" w:space="0" w:color="auto"/>
        <w:bottom w:val="none" w:sz="0" w:space="0" w:color="auto"/>
        <w:right w:val="none" w:sz="0" w:space="0" w:color="auto"/>
      </w:divBdr>
    </w:div>
    <w:div w:id="856696186">
      <w:bodyDiv w:val="1"/>
      <w:marLeft w:val="0"/>
      <w:marRight w:val="0"/>
      <w:marTop w:val="0"/>
      <w:marBottom w:val="0"/>
      <w:divBdr>
        <w:top w:val="none" w:sz="0" w:space="0" w:color="auto"/>
        <w:left w:val="none" w:sz="0" w:space="0" w:color="auto"/>
        <w:bottom w:val="none" w:sz="0" w:space="0" w:color="auto"/>
        <w:right w:val="none" w:sz="0" w:space="0" w:color="auto"/>
      </w:divBdr>
    </w:div>
    <w:div w:id="887453560">
      <w:bodyDiv w:val="1"/>
      <w:marLeft w:val="0"/>
      <w:marRight w:val="0"/>
      <w:marTop w:val="0"/>
      <w:marBottom w:val="0"/>
      <w:divBdr>
        <w:top w:val="none" w:sz="0" w:space="0" w:color="auto"/>
        <w:left w:val="none" w:sz="0" w:space="0" w:color="auto"/>
        <w:bottom w:val="none" w:sz="0" w:space="0" w:color="auto"/>
        <w:right w:val="none" w:sz="0" w:space="0" w:color="auto"/>
      </w:divBdr>
    </w:div>
    <w:div w:id="893740511">
      <w:bodyDiv w:val="1"/>
      <w:marLeft w:val="0"/>
      <w:marRight w:val="0"/>
      <w:marTop w:val="0"/>
      <w:marBottom w:val="0"/>
      <w:divBdr>
        <w:top w:val="none" w:sz="0" w:space="0" w:color="auto"/>
        <w:left w:val="none" w:sz="0" w:space="0" w:color="auto"/>
        <w:bottom w:val="none" w:sz="0" w:space="0" w:color="auto"/>
        <w:right w:val="none" w:sz="0" w:space="0" w:color="auto"/>
      </w:divBdr>
    </w:div>
    <w:div w:id="936333511">
      <w:bodyDiv w:val="1"/>
      <w:marLeft w:val="0"/>
      <w:marRight w:val="0"/>
      <w:marTop w:val="0"/>
      <w:marBottom w:val="0"/>
      <w:divBdr>
        <w:top w:val="none" w:sz="0" w:space="0" w:color="auto"/>
        <w:left w:val="none" w:sz="0" w:space="0" w:color="auto"/>
        <w:bottom w:val="none" w:sz="0" w:space="0" w:color="auto"/>
        <w:right w:val="none" w:sz="0" w:space="0" w:color="auto"/>
      </w:divBdr>
    </w:div>
    <w:div w:id="1026370517">
      <w:bodyDiv w:val="1"/>
      <w:marLeft w:val="0"/>
      <w:marRight w:val="0"/>
      <w:marTop w:val="0"/>
      <w:marBottom w:val="0"/>
      <w:divBdr>
        <w:top w:val="none" w:sz="0" w:space="0" w:color="auto"/>
        <w:left w:val="none" w:sz="0" w:space="0" w:color="auto"/>
        <w:bottom w:val="none" w:sz="0" w:space="0" w:color="auto"/>
        <w:right w:val="none" w:sz="0" w:space="0" w:color="auto"/>
      </w:divBdr>
    </w:div>
    <w:div w:id="1036812108">
      <w:bodyDiv w:val="1"/>
      <w:marLeft w:val="0"/>
      <w:marRight w:val="0"/>
      <w:marTop w:val="0"/>
      <w:marBottom w:val="0"/>
      <w:divBdr>
        <w:top w:val="none" w:sz="0" w:space="0" w:color="auto"/>
        <w:left w:val="none" w:sz="0" w:space="0" w:color="auto"/>
        <w:bottom w:val="none" w:sz="0" w:space="0" w:color="auto"/>
        <w:right w:val="none" w:sz="0" w:space="0" w:color="auto"/>
      </w:divBdr>
    </w:div>
    <w:div w:id="1056320229">
      <w:bodyDiv w:val="1"/>
      <w:marLeft w:val="0"/>
      <w:marRight w:val="0"/>
      <w:marTop w:val="0"/>
      <w:marBottom w:val="0"/>
      <w:divBdr>
        <w:top w:val="none" w:sz="0" w:space="0" w:color="auto"/>
        <w:left w:val="none" w:sz="0" w:space="0" w:color="auto"/>
        <w:bottom w:val="none" w:sz="0" w:space="0" w:color="auto"/>
        <w:right w:val="none" w:sz="0" w:space="0" w:color="auto"/>
      </w:divBdr>
    </w:div>
    <w:div w:id="1118334656">
      <w:bodyDiv w:val="1"/>
      <w:marLeft w:val="0"/>
      <w:marRight w:val="0"/>
      <w:marTop w:val="0"/>
      <w:marBottom w:val="0"/>
      <w:divBdr>
        <w:top w:val="none" w:sz="0" w:space="0" w:color="auto"/>
        <w:left w:val="none" w:sz="0" w:space="0" w:color="auto"/>
        <w:bottom w:val="none" w:sz="0" w:space="0" w:color="auto"/>
        <w:right w:val="none" w:sz="0" w:space="0" w:color="auto"/>
      </w:divBdr>
    </w:div>
    <w:div w:id="1148786281">
      <w:bodyDiv w:val="1"/>
      <w:marLeft w:val="0"/>
      <w:marRight w:val="0"/>
      <w:marTop w:val="0"/>
      <w:marBottom w:val="0"/>
      <w:divBdr>
        <w:top w:val="none" w:sz="0" w:space="0" w:color="auto"/>
        <w:left w:val="none" w:sz="0" w:space="0" w:color="auto"/>
        <w:bottom w:val="none" w:sz="0" w:space="0" w:color="auto"/>
        <w:right w:val="none" w:sz="0" w:space="0" w:color="auto"/>
      </w:divBdr>
    </w:div>
    <w:div w:id="1173185968">
      <w:bodyDiv w:val="1"/>
      <w:marLeft w:val="0"/>
      <w:marRight w:val="0"/>
      <w:marTop w:val="0"/>
      <w:marBottom w:val="0"/>
      <w:divBdr>
        <w:top w:val="none" w:sz="0" w:space="0" w:color="auto"/>
        <w:left w:val="none" w:sz="0" w:space="0" w:color="auto"/>
        <w:bottom w:val="none" w:sz="0" w:space="0" w:color="auto"/>
        <w:right w:val="none" w:sz="0" w:space="0" w:color="auto"/>
      </w:divBdr>
    </w:div>
    <w:div w:id="1192300847">
      <w:bodyDiv w:val="1"/>
      <w:marLeft w:val="0"/>
      <w:marRight w:val="0"/>
      <w:marTop w:val="0"/>
      <w:marBottom w:val="0"/>
      <w:divBdr>
        <w:top w:val="none" w:sz="0" w:space="0" w:color="auto"/>
        <w:left w:val="none" w:sz="0" w:space="0" w:color="auto"/>
        <w:bottom w:val="none" w:sz="0" w:space="0" w:color="auto"/>
        <w:right w:val="none" w:sz="0" w:space="0" w:color="auto"/>
      </w:divBdr>
    </w:div>
    <w:div w:id="1209881365">
      <w:bodyDiv w:val="1"/>
      <w:marLeft w:val="0"/>
      <w:marRight w:val="0"/>
      <w:marTop w:val="0"/>
      <w:marBottom w:val="0"/>
      <w:divBdr>
        <w:top w:val="none" w:sz="0" w:space="0" w:color="auto"/>
        <w:left w:val="none" w:sz="0" w:space="0" w:color="auto"/>
        <w:bottom w:val="none" w:sz="0" w:space="0" w:color="auto"/>
        <w:right w:val="none" w:sz="0" w:space="0" w:color="auto"/>
      </w:divBdr>
    </w:div>
    <w:div w:id="1211458198">
      <w:bodyDiv w:val="1"/>
      <w:marLeft w:val="0"/>
      <w:marRight w:val="0"/>
      <w:marTop w:val="0"/>
      <w:marBottom w:val="0"/>
      <w:divBdr>
        <w:top w:val="none" w:sz="0" w:space="0" w:color="auto"/>
        <w:left w:val="none" w:sz="0" w:space="0" w:color="auto"/>
        <w:bottom w:val="none" w:sz="0" w:space="0" w:color="auto"/>
        <w:right w:val="none" w:sz="0" w:space="0" w:color="auto"/>
      </w:divBdr>
    </w:div>
    <w:div w:id="1318152572">
      <w:bodyDiv w:val="1"/>
      <w:marLeft w:val="0"/>
      <w:marRight w:val="0"/>
      <w:marTop w:val="0"/>
      <w:marBottom w:val="0"/>
      <w:divBdr>
        <w:top w:val="none" w:sz="0" w:space="0" w:color="auto"/>
        <w:left w:val="none" w:sz="0" w:space="0" w:color="auto"/>
        <w:bottom w:val="none" w:sz="0" w:space="0" w:color="auto"/>
        <w:right w:val="none" w:sz="0" w:space="0" w:color="auto"/>
      </w:divBdr>
    </w:div>
    <w:div w:id="1355233308">
      <w:bodyDiv w:val="1"/>
      <w:marLeft w:val="0"/>
      <w:marRight w:val="0"/>
      <w:marTop w:val="0"/>
      <w:marBottom w:val="0"/>
      <w:divBdr>
        <w:top w:val="none" w:sz="0" w:space="0" w:color="auto"/>
        <w:left w:val="none" w:sz="0" w:space="0" w:color="auto"/>
        <w:bottom w:val="none" w:sz="0" w:space="0" w:color="auto"/>
        <w:right w:val="none" w:sz="0" w:space="0" w:color="auto"/>
      </w:divBdr>
    </w:div>
    <w:div w:id="1366055376">
      <w:bodyDiv w:val="1"/>
      <w:marLeft w:val="0"/>
      <w:marRight w:val="0"/>
      <w:marTop w:val="0"/>
      <w:marBottom w:val="0"/>
      <w:divBdr>
        <w:top w:val="none" w:sz="0" w:space="0" w:color="auto"/>
        <w:left w:val="none" w:sz="0" w:space="0" w:color="auto"/>
        <w:bottom w:val="none" w:sz="0" w:space="0" w:color="auto"/>
        <w:right w:val="none" w:sz="0" w:space="0" w:color="auto"/>
      </w:divBdr>
    </w:div>
    <w:div w:id="1388143364">
      <w:bodyDiv w:val="1"/>
      <w:marLeft w:val="0"/>
      <w:marRight w:val="0"/>
      <w:marTop w:val="0"/>
      <w:marBottom w:val="0"/>
      <w:divBdr>
        <w:top w:val="none" w:sz="0" w:space="0" w:color="auto"/>
        <w:left w:val="none" w:sz="0" w:space="0" w:color="auto"/>
        <w:bottom w:val="none" w:sz="0" w:space="0" w:color="auto"/>
        <w:right w:val="none" w:sz="0" w:space="0" w:color="auto"/>
      </w:divBdr>
    </w:div>
    <w:div w:id="1452939949">
      <w:bodyDiv w:val="1"/>
      <w:marLeft w:val="0"/>
      <w:marRight w:val="0"/>
      <w:marTop w:val="0"/>
      <w:marBottom w:val="0"/>
      <w:divBdr>
        <w:top w:val="none" w:sz="0" w:space="0" w:color="auto"/>
        <w:left w:val="none" w:sz="0" w:space="0" w:color="auto"/>
        <w:bottom w:val="none" w:sz="0" w:space="0" w:color="auto"/>
        <w:right w:val="none" w:sz="0" w:space="0" w:color="auto"/>
      </w:divBdr>
    </w:div>
    <w:div w:id="1460567963">
      <w:bodyDiv w:val="1"/>
      <w:marLeft w:val="0"/>
      <w:marRight w:val="0"/>
      <w:marTop w:val="0"/>
      <w:marBottom w:val="0"/>
      <w:divBdr>
        <w:top w:val="none" w:sz="0" w:space="0" w:color="auto"/>
        <w:left w:val="none" w:sz="0" w:space="0" w:color="auto"/>
        <w:bottom w:val="none" w:sz="0" w:space="0" w:color="auto"/>
        <w:right w:val="none" w:sz="0" w:space="0" w:color="auto"/>
      </w:divBdr>
    </w:div>
    <w:div w:id="1569417460">
      <w:bodyDiv w:val="1"/>
      <w:marLeft w:val="0"/>
      <w:marRight w:val="0"/>
      <w:marTop w:val="0"/>
      <w:marBottom w:val="0"/>
      <w:divBdr>
        <w:top w:val="none" w:sz="0" w:space="0" w:color="auto"/>
        <w:left w:val="none" w:sz="0" w:space="0" w:color="auto"/>
        <w:bottom w:val="none" w:sz="0" w:space="0" w:color="auto"/>
        <w:right w:val="none" w:sz="0" w:space="0" w:color="auto"/>
      </w:divBdr>
    </w:div>
    <w:div w:id="1731222267">
      <w:bodyDiv w:val="1"/>
      <w:marLeft w:val="0"/>
      <w:marRight w:val="0"/>
      <w:marTop w:val="0"/>
      <w:marBottom w:val="0"/>
      <w:divBdr>
        <w:top w:val="none" w:sz="0" w:space="0" w:color="auto"/>
        <w:left w:val="none" w:sz="0" w:space="0" w:color="auto"/>
        <w:bottom w:val="none" w:sz="0" w:space="0" w:color="auto"/>
        <w:right w:val="none" w:sz="0" w:space="0" w:color="auto"/>
      </w:divBdr>
    </w:div>
    <w:div w:id="1772046326">
      <w:bodyDiv w:val="1"/>
      <w:marLeft w:val="0"/>
      <w:marRight w:val="0"/>
      <w:marTop w:val="0"/>
      <w:marBottom w:val="0"/>
      <w:divBdr>
        <w:top w:val="none" w:sz="0" w:space="0" w:color="auto"/>
        <w:left w:val="none" w:sz="0" w:space="0" w:color="auto"/>
        <w:bottom w:val="none" w:sz="0" w:space="0" w:color="auto"/>
        <w:right w:val="none" w:sz="0" w:space="0" w:color="auto"/>
      </w:divBdr>
    </w:div>
    <w:div w:id="1790857938">
      <w:bodyDiv w:val="1"/>
      <w:marLeft w:val="0"/>
      <w:marRight w:val="0"/>
      <w:marTop w:val="0"/>
      <w:marBottom w:val="0"/>
      <w:divBdr>
        <w:top w:val="none" w:sz="0" w:space="0" w:color="auto"/>
        <w:left w:val="none" w:sz="0" w:space="0" w:color="auto"/>
        <w:bottom w:val="none" w:sz="0" w:space="0" w:color="auto"/>
        <w:right w:val="none" w:sz="0" w:space="0" w:color="auto"/>
      </w:divBdr>
      <w:divsChild>
        <w:div w:id="891186904">
          <w:marLeft w:val="547"/>
          <w:marRight w:val="0"/>
          <w:marTop w:val="0"/>
          <w:marBottom w:val="0"/>
          <w:divBdr>
            <w:top w:val="none" w:sz="0" w:space="0" w:color="auto"/>
            <w:left w:val="none" w:sz="0" w:space="0" w:color="auto"/>
            <w:bottom w:val="none" w:sz="0" w:space="0" w:color="auto"/>
            <w:right w:val="none" w:sz="0" w:space="0" w:color="auto"/>
          </w:divBdr>
        </w:div>
      </w:divsChild>
    </w:div>
    <w:div w:id="1834835104">
      <w:bodyDiv w:val="1"/>
      <w:marLeft w:val="0"/>
      <w:marRight w:val="0"/>
      <w:marTop w:val="0"/>
      <w:marBottom w:val="0"/>
      <w:divBdr>
        <w:top w:val="none" w:sz="0" w:space="0" w:color="auto"/>
        <w:left w:val="none" w:sz="0" w:space="0" w:color="auto"/>
        <w:bottom w:val="none" w:sz="0" w:space="0" w:color="auto"/>
        <w:right w:val="none" w:sz="0" w:space="0" w:color="auto"/>
      </w:divBdr>
    </w:div>
    <w:div w:id="1835686885">
      <w:bodyDiv w:val="1"/>
      <w:marLeft w:val="0"/>
      <w:marRight w:val="0"/>
      <w:marTop w:val="0"/>
      <w:marBottom w:val="0"/>
      <w:divBdr>
        <w:top w:val="none" w:sz="0" w:space="0" w:color="auto"/>
        <w:left w:val="none" w:sz="0" w:space="0" w:color="auto"/>
        <w:bottom w:val="none" w:sz="0" w:space="0" w:color="auto"/>
        <w:right w:val="none" w:sz="0" w:space="0" w:color="auto"/>
      </w:divBdr>
    </w:div>
    <w:div w:id="1874077858">
      <w:bodyDiv w:val="1"/>
      <w:marLeft w:val="0"/>
      <w:marRight w:val="0"/>
      <w:marTop w:val="0"/>
      <w:marBottom w:val="0"/>
      <w:divBdr>
        <w:top w:val="none" w:sz="0" w:space="0" w:color="auto"/>
        <w:left w:val="none" w:sz="0" w:space="0" w:color="auto"/>
        <w:bottom w:val="none" w:sz="0" w:space="0" w:color="auto"/>
        <w:right w:val="none" w:sz="0" w:space="0" w:color="auto"/>
      </w:divBdr>
    </w:div>
    <w:div w:id="1905945296">
      <w:bodyDiv w:val="1"/>
      <w:marLeft w:val="0"/>
      <w:marRight w:val="0"/>
      <w:marTop w:val="0"/>
      <w:marBottom w:val="0"/>
      <w:divBdr>
        <w:top w:val="none" w:sz="0" w:space="0" w:color="auto"/>
        <w:left w:val="none" w:sz="0" w:space="0" w:color="auto"/>
        <w:bottom w:val="none" w:sz="0" w:space="0" w:color="auto"/>
        <w:right w:val="none" w:sz="0" w:space="0" w:color="auto"/>
      </w:divBdr>
    </w:div>
    <w:div w:id="1922448748">
      <w:bodyDiv w:val="1"/>
      <w:marLeft w:val="0"/>
      <w:marRight w:val="0"/>
      <w:marTop w:val="0"/>
      <w:marBottom w:val="0"/>
      <w:divBdr>
        <w:top w:val="none" w:sz="0" w:space="0" w:color="auto"/>
        <w:left w:val="none" w:sz="0" w:space="0" w:color="auto"/>
        <w:bottom w:val="none" w:sz="0" w:space="0" w:color="auto"/>
        <w:right w:val="none" w:sz="0" w:space="0" w:color="auto"/>
      </w:divBdr>
    </w:div>
    <w:div w:id="1940335299">
      <w:bodyDiv w:val="1"/>
      <w:marLeft w:val="0"/>
      <w:marRight w:val="0"/>
      <w:marTop w:val="0"/>
      <w:marBottom w:val="0"/>
      <w:divBdr>
        <w:top w:val="none" w:sz="0" w:space="0" w:color="auto"/>
        <w:left w:val="none" w:sz="0" w:space="0" w:color="auto"/>
        <w:bottom w:val="none" w:sz="0" w:space="0" w:color="auto"/>
        <w:right w:val="none" w:sz="0" w:space="0" w:color="auto"/>
      </w:divBdr>
    </w:div>
    <w:div w:id="1966697060">
      <w:bodyDiv w:val="1"/>
      <w:marLeft w:val="0"/>
      <w:marRight w:val="0"/>
      <w:marTop w:val="0"/>
      <w:marBottom w:val="0"/>
      <w:divBdr>
        <w:top w:val="none" w:sz="0" w:space="0" w:color="auto"/>
        <w:left w:val="none" w:sz="0" w:space="0" w:color="auto"/>
        <w:bottom w:val="none" w:sz="0" w:space="0" w:color="auto"/>
        <w:right w:val="none" w:sz="0" w:space="0" w:color="auto"/>
      </w:divBdr>
    </w:div>
    <w:div w:id="2031370925">
      <w:bodyDiv w:val="1"/>
      <w:marLeft w:val="0"/>
      <w:marRight w:val="0"/>
      <w:marTop w:val="0"/>
      <w:marBottom w:val="0"/>
      <w:divBdr>
        <w:top w:val="none" w:sz="0" w:space="0" w:color="auto"/>
        <w:left w:val="none" w:sz="0" w:space="0" w:color="auto"/>
        <w:bottom w:val="none" w:sz="0" w:space="0" w:color="auto"/>
        <w:right w:val="none" w:sz="0" w:space="0" w:color="auto"/>
      </w:divBdr>
    </w:div>
    <w:div w:id="2063139057">
      <w:bodyDiv w:val="1"/>
      <w:marLeft w:val="0"/>
      <w:marRight w:val="0"/>
      <w:marTop w:val="0"/>
      <w:marBottom w:val="0"/>
      <w:divBdr>
        <w:top w:val="none" w:sz="0" w:space="0" w:color="auto"/>
        <w:left w:val="none" w:sz="0" w:space="0" w:color="auto"/>
        <w:bottom w:val="none" w:sz="0" w:space="0" w:color="auto"/>
        <w:right w:val="none" w:sz="0" w:space="0" w:color="auto"/>
      </w:divBdr>
    </w:div>
    <w:div w:id="2109497222">
      <w:bodyDiv w:val="1"/>
      <w:marLeft w:val="0"/>
      <w:marRight w:val="0"/>
      <w:marTop w:val="0"/>
      <w:marBottom w:val="0"/>
      <w:divBdr>
        <w:top w:val="none" w:sz="0" w:space="0" w:color="auto"/>
        <w:left w:val="none" w:sz="0" w:space="0" w:color="auto"/>
        <w:bottom w:val="none" w:sz="0" w:space="0" w:color="auto"/>
        <w:right w:val="none" w:sz="0" w:space="0" w:color="auto"/>
      </w:divBdr>
    </w:div>
    <w:div w:id="2132359836">
      <w:bodyDiv w:val="1"/>
      <w:marLeft w:val="0"/>
      <w:marRight w:val="0"/>
      <w:marTop w:val="0"/>
      <w:marBottom w:val="0"/>
      <w:divBdr>
        <w:top w:val="none" w:sz="0" w:space="0" w:color="auto"/>
        <w:left w:val="none" w:sz="0" w:space="0" w:color="auto"/>
        <w:bottom w:val="none" w:sz="0" w:space="0" w:color="auto"/>
        <w:right w:val="none" w:sz="0" w:space="0" w:color="auto"/>
      </w:divBdr>
    </w:div>
    <w:div w:id="214184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Layout" Target="diagrams/layout2.xml"/><Relationship Id="rId26" Type="http://schemas.openxmlformats.org/officeDocument/2006/relationships/diagramQuickStyle" Target="diagrams/quickStyle3.xml"/><Relationship Id="rId39" Type="http://schemas.openxmlformats.org/officeDocument/2006/relationships/chart" Target="charts/chart11.xml"/><Relationship Id="rId21" Type="http://schemas.microsoft.com/office/2007/relationships/diagramDrawing" Target="diagrams/drawing2.xml"/><Relationship Id="rId34" Type="http://schemas.openxmlformats.org/officeDocument/2006/relationships/diagramData" Target="diagrams/data4.xml"/><Relationship Id="rId42" Type="http://schemas.openxmlformats.org/officeDocument/2006/relationships/diagramLayout" Target="diagrams/layout5.xm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chart" Target="charts/chart6.xml"/><Relationship Id="rId11" Type="http://schemas.openxmlformats.org/officeDocument/2006/relationships/diagramQuickStyle" Target="diagrams/quickStyle1.xml"/><Relationship Id="rId24" Type="http://schemas.openxmlformats.org/officeDocument/2006/relationships/diagramData" Target="diagrams/data3.xml"/><Relationship Id="rId32" Type="http://schemas.openxmlformats.org/officeDocument/2006/relationships/chart" Target="charts/chart9.xml"/><Relationship Id="rId37" Type="http://schemas.openxmlformats.org/officeDocument/2006/relationships/diagramColors" Target="diagrams/colors4.xml"/><Relationship Id="rId40" Type="http://schemas.openxmlformats.org/officeDocument/2006/relationships/chart" Target="charts/chart12.xml"/><Relationship Id="rId45"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5.xml"/><Relationship Id="rId28" Type="http://schemas.microsoft.com/office/2007/relationships/diagramDrawing" Target="diagrams/drawing3.xml"/><Relationship Id="rId36" Type="http://schemas.openxmlformats.org/officeDocument/2006/relationships/diagramQuickStyle" Target="diagrams/quickStyle4.xml"/><Relationship Id="rId49"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diagramQuickStyle" Target="diagrams/quickStyle2.xml"/><Relationship Id="rId31" Type="http://schemas.openxmlformats.org/officeDocument/2006/relationships/chart" Target="charts/chart8.xml"/><Relationship Id="rId44"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chart" Target="charts/chart4.xml"/><Relationship Id="rId27" Type="http://schemas.openxmlformats.org/officeDocument/2006/relationships/diagramColors" Target="diagrams/colors3.xml"/><Relationship Id="rId30" Type="http://schemas.openxmlformats.org/officeDocument/2006/relationships/chart" Target="charts/chart7.xml"/><Relationship Id="rId35" Type="http://schemas.openxmlformats.org/officeDocument/2006/relationships/diagramLayout" Target="diagrams/layout4.xml"/><Relationship Id="rId43" Type="http://schemas.openxmlformats.org/officeDocument/2006/relationships/diagramQuickStyle" Target="diagrams/quickStyle5.xm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Data" Target="diagrams/data2.xml"/><Relationship Id="rId25" Type="http://schemas.openxmlformats.org/officeDocument/2006/relationships/diagramLayout" Target="diagrams/layout3.xml"/><Relationship Id="rId33" Type="http://schemas.openxmlformats.org/officeDocument/2006/relationships/chart" Target="charts/chart10.xml"/><Relationship Id="rId38" Type="http://schemas.microsoft.com/office/2007/relationships/diagramDrawing" Target="diagrams/drawing4.xml"/><Relationship Id="rId46" Type="http://schemas.openxmlformats.org/officeDocument/2006/relationships/header" Target="header1.xml"/><Relationship Id="rId20" Type="http://schemas.openxmlformats.org/officeDocument/2006/relationships/diagramColors" Target="diagrams/colors2.xml"/><Relationship Id="rId41"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1.xml"/><Relationship Id="rId1" Type="http://schemas.microsoft.com/office/2011/relationships/chartStyle" Target="style11.xml"/><Relationship Id="rId5" Type="http://schemas.openxmlformats.org/officeDocument/2006/relationships/chartUserShapes" Target="../drawings/drawing9.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t" anchorCtr="0"/>
          <a:lstStyle/>
          <a:p>
            <a:pPr>
              <a:defRPr sz="105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es-GT" sz="1050"/>
              <a:t>Ingresos</a:t>
            </a:r>
            <a:r>
              <a:rPr lang="es-GT" sz="1050" baseline="0"/>
              <a:t> Totales</a:t>
            </a:r>
          </a:p>
          <a:p>
            <a:pPr>
              <a:defRPr sz="1050">
                <a:solidFill>
                  <a:sysClr val="windowText" lastClr="000000"/>
                </a:solidFill>
              </a:defRPr>
            </a:pPr>
            <a:r>
              <a:rPr lang="es-GT" sz="1050" baseline="0"/>
              <a:t>Variación interanual acumulada al 31 de marzo de cada año</a:t>
            </a:r>
          </a:p>
          <a:p>
            <a:pPr>
              <a:defRPr sz="1050">
                <a:solidFill>
                  <a:sysClr val="windowText" lastClr="000000"/>
                </a:solidFill>
              </a:defRPr>
            </a:pPr>
            <a:r>
              <a:rPr lang="es-GT" sz="1050" b="0" baseline="0"/>
              <a:t>En porcentajes</a:t>
            </a:r>
            <a:endParaRPr lang="es-GT" sz="1050" b="0"/>
          </a:p>
        </c:rich>
      </c:tx>
      <c:layout>
        <c:manualLayout>
          <c:xMode val="edge"/>
          <c:yMode val="edge"/>
          <c:x val="0.13991306571209408"/>
          <c:y val="0"/>
        </c:manualLayout>
      </c:layout>
      <c:overlay val="0"/>
      <c:spPr>
        <a:noFill/>
        <a:ln>
          <a:noFill/>
        </a:ln>
        <a:effectLst/>
      </c:spPr>
      <c:txPr>
        <a:bodyPr rot="0" spcFirstLastPara="1" vertOverflow="ellipsis" vert="horz" wrap="square" anchor="t" anchorCtr="0"/>
        <a:lstStyle/>
        <a:p>
          <a:pPr>
            <a:defRPr sz="105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12889488373303379"/>
          <c:y val="0.30354157111191926"/>
          <c:w val="1"/>
          <c:h val="0.51804467162368428"/>
        </c:manualLayout>
      </c:layout>
      <c:barChart>
        <c:barDir val="col"/>
        <c:grouping val="clustered"/>
        <c:varyColors val="0"/>
        <c:ser>
          <c:idx val="0"/>
          <c:order val="1"/>
          <c:tx>
            <c:strRef>
              <c:f>Hoja1!$D$1</c:f>
              <c:strCache>
                <c:ptCount val="1"/>
                <c:pt idx="0">
                  <c:v>2021</c:v>
                </c:pt>
              </c:strCache>
            </c:strRef>
          </c:tx>
          <c:spPr>
            <a:solidFill>
              <a:schemeClr val="accent6"/>
            </a:solidFill>
            <a:ln>
              <a:solidFill>
                <a:sysClr val="windowText" lastClr="000000"/>
              </a:solidFill>
            </a:ln>
            <a:effectLst>
              <a:outerShdw blurRad="50800" dist="38100" dir="18900000" algn="bl" rotWithShape="0">
                <a:prstClr val="black">
                  <a:alpha val="40000"/>
                </a:prstClr>
              </a:outerShdw>
            </a:effectLst>
          </c:spPr>
          <c:invertIfNegative val="0"/>
          <c:dLbls>
            <c:dLbl>
              <c:idx val="0"/>
              <c:layout>
                <c:manualLayout>
                  <c:x val="4.5024763619990991E-3"/>
                  <c:y val="-2.03562340966921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8E-4F11-B795-3C8DE4243CFB}"/>
                </c:ext>
              </c:extLst>
            </c:dLbl>
            <c:dLbl>
              <c:idx val="1"/>
              <c:layout>
                <c:manualLayout>
                  <c:x val="0"/>
                  <c:y val="-1.0178117048346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69-4070-A5FD-52761F3A4378}"/>
                </c:ext>
              </c:extLst>
            </c:dLbl>
            <c:dLbl>
              <c:idx val="2"/>
              <c:tx>
                <c:rich>
                  <a:bodyPr/>
                  <a:lstStyle/>
                  <a:p>
                    <a:fld id="{B70952BE-0E47-4080-9730-962434246B8C}" type="VALUE">
                      <a:rPr lang="en-US">
                        <a:solidFill>
                          <a:schemeClr val="accent6"/>
                        </a:solidFill>
                      </a:rPr>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7DA-4CEC-AFDB-4DA9C5CBDAE3}"/>
                </c:ext>
              </c:extLst>
            </c:dLbl>
            <c:dLbl>
              <c:idx val="3"/>
              <c:layout>
                <c:manualLayout>
                  <c:x val="-4.5024763619991824E-3"/>
                  <c:y val="-9.329832848625337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7DA-4CEC-AFDB-4DA9C5CBDAE3}"/>
                </c:ext>
              </c:extLst>
            </c:dLbl>
            <c:dLbl>
              <c:idx val="4"/>
              <c:tx>
                <c:rich>
                  <a:bodyPr/>
                  <a:lstStyle/>
                  <a:p>
                    <a:fld id="{BE595BC7-DCA9-479A-871E-3B938E48F3A0}" type="VALUE">
                      <a:rPr lang="en-US">
                        <a:solidFill>
                          <a:schemeClr val="accent6"/>
                        </a:solidFill>
                      </a:rPr>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7DA-4CEC-AFDB-4DA9C5CBDAE3}"/>
                </c:ext>
              </c:extLst>
            </c:dLbl>
            <c:dLbl>
              <c:idx val="5"/>
              <c:tx>
                <c:rich>
                  <a:bodyPr/>
                  <a:lstStyle/>
                  <a:p>
                    <a:fld id="{9DDCDE80-5BE7-4E7D-88FF-C833BCB9D083}" type="VALUE">
                      <a:rPr lang="en-US">
                        <a:solidFill>
                          <a:schemeClr val="accent6"/>
                        </a:solidFill>
                      </a:rPr>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7DA-4CEC-AFDB-4DA9C5CBDAE3}"/>
                </c:ext>
              </c:extLst>
            </c:dLbl>
            <c:dLbl>
              <c:idx val="6"/>
              <c:tx>
                <c:rich>
                  <a:bodyPr/>
                  <a:lstStyle/>
                  <a:p>
                    <a:fld id="{2D891769-A5A5-4BD0-9B1C-58547D5E3D03}" type="VALUE">
                      <a:rPr lang="en-US">
                        <a:solidFill>
                          <a:schemeClr val="accent6"/>
                        </a:solidFill>
                      </a:rPr>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7DA-4CEC-AFDB-4DA9C5CBDAE3}"/>
                </c:ext>
              </c:extLst>
            </c:dLbl>
            <c:dLbl>
              <c:idx val="7"/>
              <c:tx>
                <c:rich>
                  <a:bodyPr/>
                  <a:lstStyle/>
                  <a:p>
                    <a:fld id="{D55D93F5-CB79-4C89-BF5E-9AF4FE653A6C}" type="VALUE">
                      <a:rPr lang="en-US">
                        <a:solidFill>
                          <a:schemeClr val="accent6"/>
                        </a:solidFill>
                      </a:rPr>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7DA-4CEC-AFDB-4DA9C5CBDAE3}"/>
                </c:ext>
              </c:extLst>
            </c:dLbl>
            <c:dLbl>
              <c:idx val="8"/>
              <c:tx>
                <c:rich>
                  <a:bodyPr/>
                  <a:lstStyle/>
                  <a:p>
                    <a:fld id="{A49661DA-D522-4D0D-AEC4-E447451C9457}" type="VALUE">
                      <a:rPr lang="en-US" sz="700">
                        <a:solidFill>
                          <a:schemeClr val="accent6"/>
                        </a:solidFill>
                      </a:rPr>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7DA-4CEC-AFDB-4DA9C5CBDAE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accent6"/>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Hoja1!$A$2:$A$4</c:f>
              <c:strCache>
                <c:ptCount val="3"/>
                <c:pt idx="0">
                  <c:v>Enero</c:v>
                </c:pt>
                <c:pt idx="1">
                  <c:v>Febrero</c:v>
                </c:pt>
                <c:pt idx="2">
                  <c:v>Marzo</c:v>
                </c:pt>
              </c:strCache>
            </c:strRef>
          </c:cat>
          <c:val>
            <c:numRef>
              <c:f>Hoja1!$D$2:$D$4</c:f>
              <c:numCache>
                <c:formatCode>#,##0.0_ ;[Red]\-#,##0.0\ </c:formatCode>
                <c:ptCount val="3"/>
                <c:pt idx="0">
                  <c:v>4.0556198030071489</c:v>
                </c:pt>
                <c:pt idx="1">
                  <c:v>6.0273892274479435</c:v>
                </c:pt>
                <c:pt idx="2">
                  <c:v>20.626364253850738</c:v>
                </c:pt>
              </c:numCache>
            </c:numRef>
          </c:val>
          <c:extLst>
            <c:ext xmlns:c16="http://schemas.microsoft.com/office/drawing/2014/chart" uri="{C3380CC4-5D6E-409C-BE32-E72D297353CC}">
              <c16:uniqueId val="{00000001-E2D9-4984-901D-E1114F265272}"/>
            </c:ext>
          </c:extLst>
        </c:ser>
        <c:ser>
          <c:idx val="1"/>
          <c:order val="2"/>
          <c:tx>
            <c:strRef>
              <c:f>Hoja1!$C$1</c:f>
              <c:strCache>
                <c:ptCount val="1"/>
                <c:pt idx="0">
                  <c:v>2022</c:v>
                </c:pt>
              </c:strCache>
            </c:strRef>
          </c:tx>
          <c:spPr>
            <a:solidFill>
              <a:schemeClr val="accent5"/>
            </a:solidFill>
            <a:ln>
              <a:solidFill>
                <a:sysClr val="windowText" lastClr="000000"/>
              </a:solidFill>
            </a:ln>
            <a:effectLst>
              <a:outerShdw blurRad="50800" dist="38100" dir="18900000" algn="bl" rotWithShape="0">
                <a:prstClr val="black">
                  <a:alpha val="40000"/>
                </a:prstClr>
              </a:outerShdw>
            </a:effectLst>
          </c:spPr>
          <c:invertIfNegative val="0"/>
          <c:dLbls>
            <c:dLbl>
              <c:idx val="0"/>
              <c:layout>
                <c:manualLayout>
                  <c:x val="9.004952723998198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7DA-4CEC-AFDB-4DA9C5CBDAE3}"/>
                </c:ext>
              </c:extLst>
            </c:dLbl>
            <c:dLbl>
              <c:idx val="1"/>
              <c:layout>
                <c:manualLayout>
                  <c:x val="7.1827801516148523E-3"/>
                  <c:y val="-2.80893886273505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8E-4F11-B795-3C8DE4243CFB}"/>
                </c:ext>
              </c:extLst>
            </c:dLbl>
            <c:dLbl>
              <c:idx val="2"/>
              <c:layout>
                <c:manualLayout>
                  <c:x val="2.1654395842355999E-3"/>
                  <c:y val="-2.34496235415828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7DA-4CEC-AFDB-4DA9C5CBDAE3}"/>
                </c:ext>
              </c:extLst>
            </c:dLbl>
            <c:dLbl>
              <c:idx val="3"/>
              <c:layout>
                <c:manualLayout>
                  <c:x val="3.9699267101664765E-17"/>
                  <c:y val="-7.2344283109269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8E-4F11-B795-3C8DE4243CFB}"/>
                </c:ext>
              </c:extLst>
            </c:dLbl>
            <c:dLbl>
              <c:idx val="4"/>
              <c:layout>
                <c:manualLayout>
                  <c:x val="0"/>
                  <c:y val="-2.65428002654280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B4A-4036-9CA9-4FEE2D543697}"/>
                </c:ext>
              </c:extLst>
            </c:dLbl>
            <c:dLbl>
              <c:idx val="5"/>
              <c:layout>
                <c:manualLayout>
                  <c:x val="0"/>
                  <c:y val="-6.63570006635700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4A-4036-9CA9-4FEE2D543697}"/>
                </c:ext>
              </c:extLst>
            </c:dLbl>
            <c:dLbl>
              <c:idx val="6"/>
              <c:layout>
                <c:manualLayout>
                  <c:x val="0"/>
                  <c:y val="1.3271400132714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56-43FC-A646-87823658FB37}"/>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accent5"/>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Hoja1!$A$2:$A$4</c:f>
              <c:strCache>
                <c:ptCount val="3"/>
                <c:pt idx="0">
                  <c:v>Enero</c:v>
                </c:pt>
                <c:pt idx="1">
                  <c:v>Febrero</c:v>
                </c:pt>
                <c:pt idx="2">
                  <c:v>Marzo</c:v>
                </c:pt>
              </c:strCache>
            </c:strRef>
          </c:cat>
          <c:val>
            <c:numRef>
              <c:f>Hoja1!$C$2:$C$4</c:f>
              <c:numCache>
                <c:formatCode>#,##0.0_ ;[Red]\-#,##0.0\ </c:formatCode>
                <c:ptCount val="3"/>
                <c:pt idx="0">
                  <c:v>12.456332078352794</c:v>
                </c:pt>
                <c:pt idx="1">
                  <c:v>11.380388014790444</c:v>
                </c:pt>
                <c:pt idx="2">
                  <c:v>14.994491881824136</c:v>
                </c:pt>
              </c:numCache>
            </c:numRef>
          </c:val>
          <c:extLst>
            <c:ext xmlns:c16="http://schemas.microsoft.com/office/drawing/2014/chart" uri="{C3380CC4-5D6E-409C-BE32-E72D297353CC}">
              <c16:uniqueId val="{00000000-E2D9-4984-901D-E1114F265272}"/>
            </c:ext>
          </c:extLst>
        </c:ser>
        <c:dLbls>
          <c:showLegendKey val="0"/>
          <c:showVal val="0"/>
          <c:showCatName val="0"/>
          <c:showSerName val="0"/>
          <c:showPercent val="0"/>
          <c:showBubbleSize val="0"/>
        </c:dLbls>
        <c:gapWidth val="150"/>
        <c:axId val="1509281743"/>
        <c:axId val="344873055"/>
      </c:barChart>
      <c:lineChart>
        <c:grouping val="standard"/>
        <c:varyColors val="0"/>
        <c:ser>
          <c:idx val="2"/>
          <c:order val="0"/>
          <c:tx>
            <c:strRef>
              <c:f>Hoja1!$B$1</c:f>
              <c:strCache>
                <c:ptCount val="1"/>
                <c:pt idx="0">
                  <c:v>2023*</c:v>
                </c:pt>
              </c:strCache>
            </c:strRef>
          </c:tx>
          <c:spPr>
            <a:ln w="25400" cap="rnd">
              <a:solidFill>
                <a:schemeClr val="accent4"/>
              </a:solidFill>
              <a:round/>
              <a:tailEnd type="triangle"/>
            </a:ln>
            <a:effectLst>
              <a:outerShdw blurRad="50800" dist="38100" dir="18900000" algn="bl" rotWithShape="0">
                <a:prstClr val="black">
                  <a:alpha val="40000"/>
                </a:prstClr>
              </a:outerShdw>
            </a:effectLst>
          </c:spPr>
          <c:marker>
            <c:symbol val="diamond"/>
            <c:size val="7"/>
            <c:spPr>
              <a:solidFill>
                <a:schemeClr val="lt1"/>
              </a:solidFill>
              <a:ln w="15875">
                <a:solidFill>
                  <a:schemeClr val="accent4"/>
                </a:solidFill>
                <a:round/>
              </a:ln>
              <a:effectLst/>
            </c:spPr>
          </c:marker>
          <c:dLbls>
            <c:dLbl>
              <c:idx val="0"/>
              <c:layout>
                <c:manualLayout>
                  <c:x val="-5.4774220309359148E-2"/>
                  <c:y val="-9.01853298871992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8F-4D19-9CDB-2A18BD344173}"/>
                </c:ext>
              </c:extLst>
            </c:dLbl>
            <c:dLbl>
              <c:idx val="1"/>
              <c:layout>
                <c:manualLayout>
                  <c:x val="-3.1845261438465687E-2"/>
                  <c:y val="-0.1284901431116730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8F-4D19-9CDB-2A18BD344173}"/>
                </c:ext>
              </c:extLst>
            </c:dLbl>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lIns="38100" tIns="19050" rIns="38100" bIns="19050" anchor="ctr" anchorCtr="1">
                <a:spAutoFit/>
              </a:bodyPr>
              <a:lstStyle/>
              <a:p>
                <a:pPr>
                  <a:defRPr sz="6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G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Enero</c:v>
                </c:pt>
                <c:pt idx="1">
                  <c:v>Febrero</c:v>
                </c:pt>
                <c:pt idx="2">
                  <c:v>Marzo</c:v>
                </c:pt>
              </c:strCache>
            </c:strRef>
          </c:cat>
          <c:val>
            <c:numRef>
              <c:f>Hoja1!$B$2:$B$4</c:f>
              <c:numCache>
                <c:formatCode>#,##0.0_ ;[Red]\-#,##0.0\ </c:formatCode>
                <c:ptCount val="3"/>
                <c:pt idx="0">
                  <c:v>13.376319207648212</c:v>
                </c:pt>
                <c:pt idx="1">
                  <c:v>12.356742478892579</c:v>
                </c:pt>
                <c:pt idx="2">
                  <c:v>11.869726078343357</c:v>
                </c:pt>
              </c:numCache>
            </c:numRef>
          </c:val>
          <c:smooth val="1"/>
          <c:extLst>
            <c:ext xmlns:c16="http://schemas.microsoft.com/office/drawing/2014/chart" uri="{C3380CC4-5D6E-409C-BE32-E72D297353CC}">
              <c16:uniqueId val="{00000005-E2D9-4984-901D-E1114F265272}"/>
            </c:ext>
          </c:extLst>
        </c:ser>
        <c:dLbls>
          <c:showLegendKey val="0"/>
          <c:showVal val="0"/>
          <c:showCatName val="0"/>
          <c:showSerName val="0"/>
          <c:showPercent val="0"/>
          <c:showBubbleSize val="0"/>
        </c:dLbls>
        <c:marker val="1"/>
        <c:smooth val="0"/>
        <c:axId val="1509281743"/>
        <c:axId val="344873055"/>
      </c:lineChart>
      <c:catAx>
        <c:axId val="1509281743"/>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1"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344873055"/>
        <c:crosses val="autoZero"/>
        <c:auto val="1"/>
        <c:lblAlgn val="ctr"/>
        <c:lblOffset val="100"/>
        <c:noMultiLvlLbl val="0"/>
      </c:catAx>
      <c:valAx>
        <c:axId val="344873055"/>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_ ;[Red]\-#,##0\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509281743"/>
        <c:crosses val="autoZero"/>
        <c:crossBetween val="between"/>
      </c:valAx>
      <c:spPr>
        <a:pattFill prst="ltDnDiag">
          <a:fgClr>
            <a:schemeClr val="dk1">
              <a:lumMod val="15000"/>
              <a:lumOff val="85000"/>
            </a:schemeClr>
          </a:fgClr>
          <a:bgClr>
            <a:schemeClr val="lt1"/>
          </a:bgClr>
        </a:pattFill>
        <a:ln>
          <a:noFill/>
        </a:ln>
        <a:effectLst/>
      </c:spPr>
    </c:plotArea>
    <c:legend>
      <c:legendPos val="t"/>
      <c:layout>
        <c:manualLayout>
          <c:xMode val="edge"/>
          <c:yMode val="edge"/>
          <c:x val="0"/>
          <c:y val="0.87863051697326411"/>
          <c:w val="0.55783769248618087"/>
          <c:h val="0.1108385123245066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4">
    <c:autoUpdate val="0"/>
  </c:externalData>
  <c:userShapes r:id="rId5"/>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r>
              <a:rPr lang="en-US" sz="900" b="1">
                <a:solidFill>
                  <a:schemeClr val="tx1"/>
                </a:solidFill>
              </a:rPr>
              <a:t>Por tipo de intrumento </a:t>
            </a:r>
          </a:p>
          <a:p>
            <a:pPr>
              <a:defRPr b="1">
                <a:solidFill>
                  <a:schemeClr val="tx1"/>
                </a:solidFill>
              </a:defRPr>
            </a:pPr>
            <a:r>
              <a:rPr lang="en-US" sz="900" b="1">
                <a:solidFill>
                  <a:schemeClr val="tx1"/>
                </a:solidFill>
              </a:rPr>
              <a:t>Cifra acumulada</a:t>
            </a:r>
          </a:p>
        </c:rich>
      </c:tx>
      <c:layout>
        <c:manualLayout>
          <c:xMode val="edge"/>
          <c:yMode val="edge"/>
          <c:x val="0.24247808794645748"/>
          <c:y val="4.4535929071858145E-3"/>
        </c:manualLayout>
      </c:layout>
      <c:overlay val="0"/>
      <c:spPr>
        <a:noFill/>
        <a:ln>
          <a:noFill/>
        </a:ln>
        <a:effectLst/>
      </c:spPr>
      <c:txPr>
        <a:bodyPr rot="0" spcFirstLastPara="1" vertOverflow="ellipsis" vert="horz" wrap="square" anchor="ctr" anchorCtr="1"/>
        <a:lstStyle/>
        <a:p>
          <a:pPr>
            <a:defRPr sz="20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43895438996051417"/>
          <c:y val="0.1666148629860906"/>
          <c:w val="0.42244741697619359"/>
          <c:h val="0.72748490616061445"/>
        </c:manualLayout>
      </c:layout>
      <c:barChart>
        <c:barDir val="bar"/>
        <c:grouping val="clustered"/>
        <c:varyColors val="1"/>
        <c:ser>
          <c:idx val="0"/>
          <c:order val="0"/>
          <c:tx>
            <c:strRef>
              <c:f>Hoja1!$B$1</c:f>
              <c:strCache>
                <c:ptCount val="1"/>
                <c:pt idx="0">
                  <c:v>Diciembre</c:v>
                </c:pt>
              </c:strCache>
            </c:strRef>
          </c:tx>
          <c:spPr>
            <a:solidFill>
              <a:srgbClr val="1F497D"/>
            </a:solidFill>
            <a:ln>
              <a:solidFill>
                <a:schemeClr val="tx1"/>
              </a:solidFill>
            </a:ln>
            <a:effectLst>
              <a:outerShdw blurRad="50800" dist="38100" dir="18900000" algn="bl" rotWithShape="0">
                <a:prstClr val="black">
                  <a:alpha val="40000"/>
                </a:prstClr>
              </a:outerShdw>
            </a:effectLst>
          </c:spPr>
          <c:invertIfNegative val="1"/>
          <c:dPt>
            <c:idx val="0"/>
            <c:invertIfNegative val="1"/>
            <c:bubble3D val="0"/>
            <c:spPr>
              <a:solidFill>
                <a:srgbClr val="1F497D"/>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1-6561-4004-9F39-C4307818C6BC}"/>
              </c:ext>
            </c:extLst>
          </c:dPt>
          <c:dPt>
            <c:idx val="1"/>
            <c:invertIfNegative val="1"/>
            <c:bubble3D val="0"/>
            <c:spPr>
              <a:solidFill>
                <a:srgbClr val="1F497D"/>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3-6561-4004-9F39-C4307818C6BC}"/>
              </c:ext>
            </c:extLst>
          </c:dPt>
          <c:dPt>
            <c:idx val="2"/>
            <c:invertIfNegative val="1"/>
            <c:bubble3D val="0"/>
            <c:spPr>
              <a:solidFill>
                <a:srgbClr val="1F497D"/>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5-6561-4004-9F39-C4307818C6BC}"/>
              </c:ext>
            </c:extLst>
          </c:dPt>
          <c:dLbls>
            <c:dLbl>
              <c:idx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extLst>
                <c:ext xmlns:c16="http://schemas.microsoft.com/office/drawing/2014/chart" uri="{C3380CC4-5D6E-409C-BE32-E72D297353CC}">
                  <c16:uniqueId val="{00000001-6561-4004-9F39-C4307818C6BC}"/>
                </c:ext>
              </c:extLst>
            </c:dLbl>
            <c:dLbl>
              <c:idx val="1"/>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extLst>
                <c:ext xmlns:c16="http://schemas.microsoft.com/office/drawing/2014/chart" uri="{C3380CC4-5D6E-409C-BE32-E72D297353CC}">
                  <c16:uniqueId val="{00000003-6561-4004-9F39-C4307818C6BC}"/>
                </c:ext>
              </c:extLst>
            </c:dLbl>
            <c:dLbl>
              <c:idx val="2"/>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extLst>
                <c:ext xmlns:c16="http://schemas.microsoft.com/office/drawing/2014/chart" uri="{C3380CC4-5D6E-409C-BE32-E72D297353CC}">
                  <c16:uniqueId val="{00000005-6561-4004-9F39-C4307818C6BC}"/>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Títulos de deuda</c:v>
                </c:pt>
                <c:pt idx="1">
                  <c:v>Préstamos</c:v>
                </c:pt>
                <c:pt idx="2">
                  <c:v>Otras cuentas por pagar</c:v>
                </c:pt>
              </c:strCache>
            </c:strRef>
          </c:cat>
          <c:val>
            <c:numRef>
              <c:f>Hoja1!$B$2:$B$4</c:f>
              <c:numCache>
                <c:formatCode>#,##0.0_ ;[Red]\-#,##0.0\ </c:formatCode>
                <c:ptCount val="3"/>
                <c:pt idx="0">
                  <c:v>-1615.2750488899999</c:v>
                </c:pt>
                <c:pt idx="1">
                  <c:v>-350.16645735999998</c:v>
                </c:pt>
                <c:pt idx="2">
                  <c:v>-150.43474240999998</c:v>
                </c:pt>
              </c:numCache>
            </c:numRef>
          </c:val>
          <c:extLst>
            <c:ext xmlns:c14="http://schemas.microsoft.com/office/drawing/2007/8/2/chart" uri="{6F2FDCE9-48DA-4B69-8628-5D25D57E5C99}">
              <c14:invertSolidFillFmt>
                <c14:spPr xmlns:c14="http://schemas.microsoft.com/office/drawing/2007/8/2/chart">
                  <a:solidFill>
                    <a:srgbClr val="C00000"/>
                  </a:solidFill>
                  <a:ln>
                    <a:solidFill>
                      <a:schemeClr val="tx1"/>
                    </a:solidFill>
                  </a:ln>
                  <a:effectLst>
                    <a:outerShdw blurRad="50800" dist="38100" dir="18900000" algn="bl" rotWithShape="0">
                      <a:prstClr val="black">
                        <a:alpha val="40000"/>
                      </a:prstClr>
                    </a:outerShdw>
                  </a:effectLst>
                </c14:spPr>
              </c14:invertSolidFillFmt>
            </c:ext>
            <c:ext xmlns:c16="http://schemas.microsoft.com/office/drawing/2014/chart" uri="{C3380CC4-5D6E-409C-BE32-E72D297353CC}">
              <c16:uniqueId val="{00000006-6561-4004-9F39-C4307818C6BC}"/>
            </c:ext>
          </c:extLst>
        </c:ser>
        <c:dLbls>
          <c:dLblPos val="inEnd"/>
          <c:showLegendKey val="0"/>
          <c:showVal val="1"/>
          <c:showCatName val="0"/>
          <c:showSerName val="0"/>
          <c:showPercent val="0"/>
          <c:showBubbleSize val="0"/>
        </c:dLbls>
        <c:gapWidth val="119"/>
        <c:overlap val="-48"/>
        <c:axId val="152972768"/>
        <c:axId val="152984368"/>
      </c:barChart>
      <c:catAx>
        <c:axId val="15297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800" b="1"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es-GT"/>
          </a:p>
        </c:txPr>
        <c:crossAx val="152984368"/>
        <c:crosses val="autoZero"/>
        <c:auto val="1"/>
        <c:lblAlgn val="ctr"/>
        <c:lblOffset val="100"/>
        <c:noMultiLvlLbl val="0"/>
      </c:catAx>
      <c:valAx>
        <c:axId val="152984368"/>
        <c:scaling>
          <c:orientation val="minMax"/>
          <c:min val="-2500"/>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_ ;[Red]\-#,##0\ " sourceLinked="0"/>
        <c:majorTickMark val="out"/>
        <c:minorTickMark val="none"/>
        <c:tickLblPos val="nextTo"/>
        <c:crossAx val="1529727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es-GT" sz="1200" b="1" i="0" baseline="0">
                <a:effectLst/>
              </a:rPr>
              <a:t>Erogaciones por Función del Gobierno</a:t>
            </a:r>
            <a:endParaRPr lang="es-GT" sz="1200">
              <a:effectLst/>
            </a:endParaRPr>
          </a:p>
          <a:p>
            <a:pPr>
              <a:defRPr sz="1200">
                <a:solidFill>
                  <a:sysClr val="windowText" lastClr="000000"/>
                </a:solidFill>
              </a:defRPr>
            </a:pPr>
            <a:r>
              <a:rPr lang="es-GT" sz="1100" b="1" i="0" baseline="0">
                <a:effectLst/>
              </a:rPr>
              <a:t>Variaciones interanuales acumuladas al 31 de marzo de cada año </a:t>
            </a:r>
            <a:endParaRPr lang="es-GT" sz="1100">
              <a:effectLst/>
            </a:endParaRPr>
          </a:p>
          <a:p>
            <a:pPr>
              <a:defRPr sz="1200">
                <a:solidFill>
                  <a:sysClr val="windowText" lastClr="000000"/>
                </a:solidFill>
              </a:defRPr>
            </a:pPr>
            <a:r>
              <a:rPr lang="es-GT" sz="1000" b="0" i="0" baseline="0">
                <a:effectLst/>
              </a:rPr>
              <a:t>En millones de quetzales</a:t>
            </a:r>
            <a:endParaRPr lang="es-GT" sz="1000">
              <a:effectLst/>
            </a:endParaRPr>
          </a:p>
        </c:rich>
      </c:tx>
      <c:layout>
        <c:manualLayout>
          <c:xMode val="edge"/>
          <c:yMode val="edge"/>
          <c:x val="0.15600947645293534"/>
          <c:y val="0"/>
        </c:manualLayout>
      </c:layout>
      <c:overlay val="0"/>
      <c:spPr>
        <a:noFill/>
        <a:ln>
          <a:noFill/>
        </a:ln>
        <a:effectLst/>
      </c:spPr>
      <c:txPr>
        <a:bodyPr rot="0" spcFirstLastPara="1" vertOverflow="ellipsis" vert="horz"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32780253795046432"/>
          <c:y val="0.18736452825773997"/>
          <c:w val="0.68935531496062996"/>
          <c:h val="0.7186633346440443"/>
        </c:manualLayout>
      </c:layout>
      <c:barChart>
        <c:barDir val="bar"/>
        <c:grouping val="clustered"/>
        <c:varyColors val="0"/>
        <c:ser>
          <c:idx val="0"/>
          <c:order val="0"/>
          <c:tx>
            <c:strRef>
              <c:f>Hoja1!$B$1</c:f>
              <c:strCache>
                <c:ptCount val="1"/>
                <c:pt idx="0">
                  <c:v>2023*</c:v>
                </c:pt>
              </c:strCache>
            </c:strRef>
          </c:tx>
          <c:spPr>
            <a:solidFill>
              <a:schemeClr val="accent1"/>
            </a:solidFill>
            <a:ln>
              <a:solidFill>
                <a:sysClr val="windowText" lastClr="000000"/>
              </a:solidFill>
            </a:ln>
            <a:effectLst>
              <a:outerShdw blurRad="50800" dist="38100" dir="18900000" algn="bl" rotWithShape="0">
                <a:prstClr val="black">
                  <a:alpha val="40000"/>
                </a:prstClr>
              </a:outerShdw>
            </a:effectLst>
          </c:spPr>
          <c:invertIfNegative val="0"/>
          <c:dLbls>
            <c:dLbl>
              <c:idx val="0"/>
              <c:layout>
                <c:manualLayout>
                  <c:x val="0"/>
                  <c:y val="-3.56362600682854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54-4E08-A47A-DB0E13A836B8}"/>
                </c:ext>
              </c:extLst>
            </c:dLbl>
            <c:dLbl>
              <c:idx val="2"/>
              <c:layout>
                <c:manualLayout>
                  <c:x val="-1.5692806802952098E-16"/>
                  <c:y val="-2.00336920212777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54-4E08-A47A-DB0E13A836B8}"/>
                </c:ext>
              </c:extLst>
            </c:dLbl>
            <c:dLbl>
              <c:idx val="3"/>
              <c:layout>
                <c:manualLayout>
                  <c:x val="0"/>
                  <c:y val="-6.74093937715625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54-4E08-A47A-DB0E13A836B8}"/>
                </c:ext>
              </c:extLst>
            </c:dLbl>
            <c:dLbl>
              <c:idx val="8"/>
              <c:layout>
                <c:manualLayout>
                  <c:x val="-7.846403401476049E-17"/>
                  <c:y val="9.59232613908872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D54-4E08-A47A-DB0E13A836B8}"/>
                </c:ext>
              </c:extLst>
            </c:dLbl>
            <c:dLbl>
              <c:idx val="9"/>
              <c:layout>
                <c:manualLayout>
                  <c:x val="-6.9443999791059712E-3"/>
                  <c:y val="9.59232613908872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54-4E08-A47A-DB0E13A836B8}"/>
                </c:ext>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Hoja1!$A$2:$A$11</c:f>
              <c:strCache>
                <c:ptCount val="10"/>
                <c:pt idx="0">
                  <c:v>Servicios públicos generales </c:v>
                </c:pt>
                <c:pt idx="1">
                  <c:v>Asuntos económicos </c:v>
                </c:pt>
                <c:pt idx="2">
                  <c:v>Educación </c:v>
                </c:pt>
                <c:pt idx="3">
                  <c:v>Protección social </c:v>
                </c:pt>
                <c:pt idx="4">
                  <c:v>Vivienda y servicios comunitarios </c:v>
                </c:pt>
                <c:pt idx="5">
                  <c:v>Orden público y seguridad </c:v>
                </c:pt>
                <c:pt idx="6">
                  <c:v>Actividades recreativas, cultura y religión </c:v>
                </c:pt>
                <c:pt idx="7">
                  <c:v>Protección del medio ambiente </c:v>
                </c:pt>
                <c:pt idx="8">
                  <c:v>Defensa </c:v>
                </c:pt>
                <c:pt idx="9">
                  <c:v>Salud </c:v>
                </c:pt>
              </c:strCache>
            </c:strRef>
          </c:cat>
          <c:val>
            <c:numRef>
              <c:f>Hoja1!$B$2:$B$11</c:f>
              <c:numCache>
                <c:formatCode>_(* #,##0.00_);_(* \(#,##0.00\);_(* "-"??_);_(@_)</c:formatCode>
                <c:ptCount val="10"/>
                <c:pt idx="0">
                  <c:v>1313.0884227899996</c:v>
                </c:pt>
                <c:pt idx="1">
                  <c:v>1101.2947803199995</c:v>
                </c:pt>
                <c:pt idx="2">
                  <c:v>765.45572424999955</c:v>
                </c:pt>
                <c:pt idx="3">
                  <c:v>556.10597760999963</c:v>
                </c:pt>
                <c:pt idx="4">
                  <c:v>336.73501853000016</c:v>
                </c:pt>
                <c:pt idx="5">
                  <c:v>234.36317837999968</c:v>
                </c:pt>
                <c:pt idx="6">
                  <c:v>71.349626220000005</c:v>
                </c:pt>
                <c:pt idx="7">
                  <c:v>44.852202309999967</c:v>
                </c:pt>
                <c:pt idx="8">
                  <c:v>-164.85113908999983</c:v>
                </c:pt>
                <c:pt idx="9">
                  <c:v>-252.86339230000021</c:v>
                </c:pt>
              </c:numCache>
            </c:numRef>
          </c:val>
          <c:extLst>
            <c:ext xmlns:c16="http://schemas.microsoft.com/office/drawing/2014/chart" uri="{C3380CC4-5D6E-409C-BE32-E72D297353CC}">
              <c16:uniqueId val="{00000005-0D54-4E08-A47A-DB0E13A836B8}"/>
            </c:ext>
          </c:extLst>
        </c:ser>
        <c:ser>
          <c:idx val="1"/>
          <c:order val="1"/>
          <c:tx>
            <c:strRef>
              <c:f>Hoja1!$C$1</c:f>
              <c:strCache>
                <c:ptCount val="1"/>
                <c:pt idx="0">
                  <c:v>2022</c:v>
                </c:pt>
              </c:strCache>
            </c:strRef>
          </c:tx>
          <c:spPr>
            <a:solidFill>
              <a:schemeClr val="accent2"/>
            </a:solidFill>
            <a:ln>
              <a:solidFill>
                <a:sysClr val="windowText" lastClr="000000"/>
              </a:solidFill>
            </a:ln>
            <a:effectLst>
              <a:outerShdw blurRad="50800" dist="38100" dir="18900000" algn="bl" rotWithShape="0">
                <a:prstClr val="black">
                  <a:alpha val="40000"/>
                </a:prstClr>
              </a:outerShdw>
            </a:effectLst>
          </c:spPr>
          <c:invertIfNegative val="0"/>
          <c:dLbls>
            <c:dLbl>
              <c:idx val="1"/>
              <c:layout>
                <c:manualLayout>
                  <c:x val="0"/>
                  <c:y val="-4.41111601235128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D54-4E08-A47A-DB0E13A836B8}"/>
                </c:ext>
              </c:extLst>
            </c:dLbl>
            <c:dLbl>
              <c:idx val="2"/>
              <c:layout>
                <c:manualLayout>
                  <c:x val="0"/>
                  <c:y val="-1.12454315434354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E0-4ED2-9E83-35DCFA82A013}"/>
                </c:ext>
              </c:extLst>
            </c:dLbl>
            <c:dLbl>
              <c:idx val="3"/>
              <c:layout>
                <c:manualLayout>
                  <c:x val="-7.846403401476049E-17"/>
                  <c:y val="-5.62271577171784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0E0-4ED2-9E83-35DCFA82A013}"/>
                </c:ext>
              </c:extLst>
            </c:dLbl>
            <c:dLbl>
              <c:idx val="4"/>
              <c:layout>
                <c:manualLayout>
                  <c:x val="-1.5692806802952098E-16"/>
                  <c:y val="-8.43407365757671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0E0-4ED2-9E83-35DCFA82A013}"/>
                </c:ext>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Hoja1!$A$2:$A$11</c:f>
              <c:strCache>
                <c:ptCount val="10"/>
                <c:pt idx="0">
                  <c:v>Servicios públicos generales </c:v>
                </c:pt>
                <c:pt idx="1">
                  <c:v>Asuntos económicos </c:v>
                </c:pt>
                <c:pt idx="2">
                  <c:v>Educación </c:v>
                </c:pt>
                <c:pt idx="3">
                  <c:v>Protección social </c:v>
                </c:pt>
                <c:pt idx="4">
                  <c:v>Vivienda y servicios comunitarios </c:v>
                </c:pt>
                <c:pt idx="5">
                  <c:v>Orden público y seguridad </c:v>
                </c:pt>
                <c:pt idx="6">
                  <c:v>Actividades recreativas, cultura y religión </c:v>
                </c:pt>
                <c:pt idx="7">
                  <c:v>Protección del medio ambiente </c:v>
                </c:pt>
                <c:pt idx="8">
                  <c:v>Defensa </c:v>
                </c:pt>
                <c:pt idx="9">
                  <c:v>Salud </c:v>
                </c:pt>
              </c:strCache>
            </c:strRef>
          </c:cat>
          <c:val>
            <c:numRef>
              <c:f>Hoja1!$C$2:$C$11</c:f>
              <c:numCache>
                <c:formatCode>_(* #,##0.00_);_(* \(#,##0.00\);_(* "-"??_);_(@_)</c:formatCode>
                <c:ptCount val="10"/>
                <c:pt idx="0">
                  <c:v>612.61738203000004</c:v>
                </c:pt>
                <c:pt idx="1">
                  <c:v>463.47416475000011</c:v>
                </c:pt>
                <c:pt idx="2">
                  <c:v>430.98186376000012</c:v>
                </c:pt>
                <c:pt idx="3">
                  <c:v>127.16937779</c:v>
                </c:pt>
                <c:pt idx="4">
                  <c:v>351.92579371999977</c:v>
                </c:pt>
                <c:pt idx="5">
                  <c:v>323.61922829000059</c:v>
                </c:pt>
                <c:pt idx="6">
                  <c:v>29.230564640000011</c:v>
                </c:pt>
                <c:pt idx="7">
                  <c:v>96.252431180000031</c:v>
                </c:pt>
                <c:pt idx="8">
                  <c:v>228.03706987999988</c:v>
                </c:pt>
                <c:pt idx="9">
                  <c:v>720.68036642000015</c:v>
                </c:pt>
              </c:numCache>
            </c:numRef>
          </c:val>
          <c:extLst>
            <c:ext xmlns:c16="http://schemas.microsoft.com/office/drawing/2014/chart" uri="{C3380CC4-5D6E-409C-BE32-E72D297353CC}">
              <c16:uniqueId val="{00000007-0D54-4E08-A47A-DB0E13A836B8}"/>
            </c:ext>
          </c:extLst>
        </c:ser>
        <c:dLbls>
          <c:showLegendKey val="0"/>
          <c:showVal val="0"/>
          <c:showCatName val="0"/>
          <c:showSerName val="0"/>
          <c:showPercent val="0"/>
          <c:showBubbleSize val="0"/>
        </c:dLbls>
        <c:gapWidth val="247"/>
        <c:axId val="1170388288"/>
        <c:axId val="1181658512"/>
      </c:barChart>
      <c:catAx>
        <c:axId val="11703882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181658512"/>
        <c:crosses val="autoZero"/>
        <c:auto val="1"/>
        <c:lblAlgn val="ctr"/>
        <c:lblOffset val="100"/>
        <c:noMultiLvlLbl val="0"/>
      </c:catAx>
      <c:valAx>
        <c:axId val="1181658512"/>
        <c:scaling>
          <c:orientation val="minMax"/>
        </c:scaling>
        <c:delete val="0"/>
        <c:axPos val="b"/>
        <c:majorGridlines>
          <c:spPr>
            <a:ln w="9525" cap="flat" cmpd="sng" algn="ctr">
              <a:solidFill>
                <a:schemeClr val="dk1">
                  <a:lumMod val="15000"/>
                  <a:lumOff val="85000"/>
                </a:schemeClr>
              </a:solidFill>
              <a:round/>
            </a:ln>
            <a:effectLst/>
          </c:spPr>
        </c:majorGridlines>
        <c:numFmt formatCode="#,##0_ ;[Red]\-#,##0\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170388288"/>
        <c:crosses val="autoZero"/>
        <c:crossBetween val="between"/>
      </c:valAx>
      <c:spPr>
        <a:pattFill prst="ltDnDiag">
          <a:fgClr>
            <a:schemeClr val="dk1">
              <a:lumMod val="15000"/>
              <a:lumOff val="85000"/>
            </a:schemeClr>
          </a:fgClr>
          <a:bgClr>
            <a:schemeClr val="lt1"/>
          </a:bgClr>
        </a:pattFill>
        <a:ln>
          <a:noFill/>
        </a:ln>
        <a:effectLst/>
      </c:spPr>
    </c:plotArea>
    <c:legend>
      <c:legendPos val="r"/>
      <c:layout>
        <c:manualLayout>
          <c:xMode val="edge"/>
          <c:yMode val="edge"/>
          <c:x val="0.87983608297625326"/>
          <c:y val="0.23402859997447217"/>
          <c:w val="9.2958543888412404E-2"/>
          <c:h val="9.7479722186546006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4">
    <c:autoUpdate val="0"/>
  </c:externalData>
  <c:userShapes r:id="rId5"/>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MX" sz="1000" b="1" i="0">
                <a:effectLst/>
              </a:rPr>
              <a:t>𝐆𝐫𝐚𝐝𝐨 𝐝𝐞 𝐄𝐣𝐞𝐜𝐮𝐜𝐢ó𝐧 𝐩𝐨𝐫 𝐄𝐧𝐭𝐢𝐝𝐚𝐝 </a:t>
            </a:r>
            <a:r>
              <a:rPr lang="es-MX" sz="1000" b="1" i="0" baseline="30000">
                <a:effectLst/>
              </a:rPr>
              <a:t>𝟏/</a:t>
            </a:r>
            <a:endParaRPr lang="es-GT" sz="1000" baseline="30000">
              <a:effectLst/>
            </a:endParaRPr>
          </a:p>
          <a:p>
            <a:pPr>
              <a:defRPr sz="1000"/>
            </a:pPr>
            <a:r>
              <a:rPr lang="es-MX" sz="1000" b="1">
                <a:effectLst/>
              </a:rPr>
              <a:t>Cifras al</a:t>
            </a:r>
            <a:r>
              <a:rPr lang="es-MX" sz="1000" b="1" baseline="0">
                <a:effectLst/>
              </a:rPr>
              <a:t> 31 de marzo</a:t>
            </a:r>
            <a:r>
              <a:rPr lang="es-MX" sz="1000" b="1">
                <a:effectLst/>
              </a:rPr>
              <a:t> de 2023*</a:t>
            </a:r>
            <a:endParaRPr lang="es-GT" sz="1000">
              <a:effectLst/>
            </a:endParaRPr>
          </a:p>
          <a:p>
            <a:pPr>
              <a:defRPr sz="1000"/>
            </a:pPr>
            <a:r>
              <a:rPr lang="es-MX" sz="1000">
                <a:effectLst/>
              </a:rPr>
              <a:t>En porcentajes</a:t>
            </a:r>
            <a:endParaRPr lang="es-GT" sz="1000">
              <a:effectLst/>
            </a:endParaRPr>
          </a:p>
        </c:rich>
      </c:tx>
      <c:layout>
        <c:manualLayout>
          <c:xMode val="edge"/>
          <c:yMode val="edge"/>
          <c:x val="0.12396123862593236"/>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title>
    <c:autoTitleDeleted val="0"/>
    <c:plotArea>
      <c:layout>
        <c:manualLayout>
          <c:layoutTarget val="inner"/>
          <c:xMode val="edge"/>
          <c:yMode val="edge"/>
          <c:x val="0.30639727081094731"/>
          <c:y val="0.18716397292443707"/>
          <c:w val="0.96086113161048337"/>
          <c:h val="0.67992792662930879"/>
        </c:manualLayout>
      </c:layout>
      <c:barChart>
        <c:barDir val="bar"/>
        <c:grouping val="clustered"/>
        <c:varyColors val="0"/>
        <c:ser>
          <c:idx val="0"/>
          <c:order val="0"/>
          <c:tx>
            <c:strRef>
              <c:f>Sheet1!$B$1</c:f>
              <c:strCache>
                <c:ptCount val="1"/>
                <c:pt idx="0">
                  <c:v>%</c:v>
                </c:pt>
              </c:strCache>
            </c:strRef>
          </c:tx>
          <c:spPr>
            <a:solidFill>
              <a:schemeClr val="accent3">
                <a:lumMod val="40000"/>
                <a:lumOff val="60000"/>
              </a:schemeClr>
            </a:solidFill>
            <a:ln>
              <a:solidFill>
                <a:schemeClr val="tx1"/>
              </a:solidFill>
            </a:ln>
            <a:effectLst>
              <a:outerShdw blurRad="50800" dist="38100" dir="18900000" algn="bl" rotWithShape="0">
                <a:prstClr val="black">
                  <a:alpha val="40000"/>
                </a:prstClr>
              </a:outerShdw>
            </a:effectLst>
            <a:scene3d>
              <a:camera prst="orthographicFront"/>
              <a:lightRig rig="threePt" dir="t"/>
            </a:scene3d>
            <a:sp3d/>
          </c:spPr>
          <c:invertIfNegative val="0"/>
          <c:dPt>
            <c:idx val="3"/>
            <c:invertIfNegative val="0"/>
            <c:bubble3D val="0"/>
            <c:extLst>
              <c:ext xmlns:c16="http://schemas.microsoft.com/office/drawing/2014/chart" uri="{C3380CC4-5D6E-409C-BE32-E72D297353CC}">
                <c16:uniqueId val="{00000000-A000-4AF4-8144-BEE06BACDEFC}"/>
              </c:ext>
            </c:extLst>
          </c:dPt>
          <c:dPt>
            <c:idx val="7"/>
            <c:invertIfNegative val="0"/>
            <c:bubble3D val="0"/>
            <c:extLst>
              <c:ext xmlns:c16="http://schemas.microsoft.com/office/drawing/2014/chart" uri="{C3380CC4-5D6E-409C-BE32-E72D297353CC}">
                <c16:uniqueId val="{00000001-A000-4AF4-8144-BEE06BACDEFC}"/>
              </c:ext>
            </c:extLst>
          </c:dPt>
          <c:dPt>
            <c:idx val="8"/>
            <c:invertIfNegative val="0"/>
            <c:bubble3D val="0"/>
            <c:extLst>
              <c:ext xmlns:c16="http://schemas.microsoft.com/office/drawing/2014/chart" uri="{C3380CC4-5D6E-409C-BE32-E72D297353CC}">
                <c16:uniqueId val="{00000002-A000-4AF4-8144-BEE06BACDEFC}"/>
              </c:ext>
            </c:extLst>
          </c:dPt>
          <c:dPt>
            <c:idx val="9"/>
            <c:invertIfNegative val="0"/>
            <c:bubble3D val="0"/>
            <c:extLst>
              <c:ext xmlns:c16="http://schemas.microsoft.com/office/drawing/2014/chart" uri="{C3380CC4-5D6E-409C-BE32-E72D297353CC}">
                <c16:uniqueId val="{00000003-A000-4AF4-8144-BEE06BACDEFC}"/>
              </c:ext>
            </c:extLst>
          </c:dPt>
          <c:dPt>
            <c:idx val="10"/>
            <c:invertIfNegative val="0"/>
            <c:bubble3D val="0"/>
            <c:extLst>
              <c:ext xmlns:c16="http://schemas.microsoft.com/office/drawing/2014/chart" uri="{C3380CC4-5D6E-409C-BE32-E72D297353CC}">
                <c16:uniqueId val="{00000004-A000-4AF4-8144-BEE06BACDEFC}"/>
              </c:ext>
            </c:extLst>
          </c:dPt>
          <c:dPt>
            <c:idx val="11"/>
            <c:invertIfNegative val="0"/>
            <c:bubble3D val="0"/>
            <c:extLst>
              <c:ext xmlns:c16="http://schemas.microsoft.com/office/drawing/2014/chart" uri="{C3380CC4-5D6E-409C-BE32-E72D297353CC}">
                <c16:uniqueId val="{00000005-A000-4AF4-8144-BEE06BACDEFC}"/>
              </c:ext>
            </c:extLst>
          </c:dPt>
          <c:dPt>
            <c:idx val="12"/>
            <c:invertIfNegative val="0"/>
            <c:bubble3D val="0"/>
            <c:spPr>
              <a:solidFill>
                <a:schemeClr val="accent3">
                  <a:lumMod val="50000"/>
                </a:schemeClr>
              </a:solidFill>
              <a:ln>
                <a:solidFill>
                  <a:schemeClr val="tx1"/>
                </a:solidFill>
              </a:ln>
              <a:effectLst>
                <a:outerShdw blurRad="50800" dist="38100" dir="18900000" algn="bl" rotWithShape="0">
                  <a:prstClr val="black">
                    <a:alpha val="40000"/>
                  </a:prstClr>
                </a:outerShdw>
              </a:effectLst>
              <a:scene3d>
                <a:camera prst="orthographicFront"/>
                <a:lightRig rig="threePt" dir="t"/>
              </a:scene3d>
              <a:sp3d/>
            </c:spPr>
            <c:extLst>
              <c:ext xmlns:c16="http://schemas.microsoft.com/office/drawing/2014/chart" uri="{C3380CC4-5D6E-409C-BE32-E72D297353CC}">
                <c16:uniqueId val="{00000007-A000-4AF4-8144-BEE06BACDEFC}"/>
              </c:ext>
            </c:extLst>
          </c:dPt>
          <c:dPt>
            <c:idx val="13"/>
            <c:invertIfNegative val="0"/>
            <c:bubble3D val="0"/>
            <c:extLst>
              <c:ext xmlns:c16="http://schemas.microsoft.com/office/drawing/2014/chart" uri="{C3380CC4-5D6E-409C-BE32-E72D297353CC}">
                <c16:uniqueId val="{00000008-A000-4AF4-8144-BEE06BACDEFC}"/>
              </c:ext>
            </c:extLst>
          </c:dPt>
          <c:dLbls>
            <c:dLbl>
              <c:idx val="12"/>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6="http://schemas.microsoft.com/office/drawing/2014/chart" uri="{C3380CC4-5D6E-409C-BE32-E72D297353CC}">
                  <c16:uniqueId val="{00000007-A000-4AF4-8144-BEE06BACDEF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Sheet1!$A$2:$A$21</c:f>
              <c:strCache>
                <c:ptCount val="20"/>
                <c:pt idx="0">
                  <c:v>Desarrollo</c:v>
                </c:pt>
                <c:pt idx="1">
                  <c:v>Ambiente </c:v>
                </c:pt>
                <c:pt idx="2">
                  <c:v>Economía</c:v>
                </c:pt>
                <c:pt idx="3">
                  <c:v>Agricultura</c:v>
                </c:pt>
                <c:pt idx="4">
                  <c:v>MINREX</c:v>
                </c:pt>
                <c:pt idx="5">
                  <c:v>Finanzas</c:v>
                </c:pt>
                <c:pt idx="6">
                  <c:v>Gobernación</c:v>
                </c:pt>
                <c:pt idx="7">
                  <c:v>Secretarías</c:v>
                </c:pt>
                <c:pt idx="8">
                  <c:v>Obligaciones </c:v>
                </c:pt>
                <c:pt idx="9">
                  <c:v>Salud Pública </c:v>
                </c:pt>
                <c:pt idx="10">
                  <c:v>Defensa </c:v>
                </c:pt>
                <c:pt idx="11">
                  <c:v>Deuda Pública</c:v>
                </c:pt>
                <c:pt idx="12">
                  <c:v>Total</c:v>
                </c:pt>
                <c:pt idx="13">
                  <c:v>Cultura</c:v>
                </c:pt>
                <c:pt idx="14">
                  <c:v>Presidencia</c:v>
                </c:pt>
                <c:pt idx="15">
                  <c:v>Educación </c:v>
                </c:pt>
                <c:pt idx="16">
                  <c:v>PGN</c:v>
                </c:pt>
                <c:pt idx="17">
                  <c:v>Trabajo </c:v>
                </c:pt>
                <c:pt idx="18">
                  <c:v>Energía</c:v>
                </c:pt>
                <c:pt idx="19">
                  <c:v>Comunicaciones</c:v>
                </c:pt>
              </c:strCache>
            </c:strRef>
          </c:cat>
          <c:val>
            <c:numRef>
              <c:f>Sheet1!$B$2:$B$21</c:f>
              <c:numCache>
                <c:formatCode>0.0</c:formatCode>
                <c:ptCount val="20"/>
                <c:pt idx="0">
                  <c:v>10.228493743855392</c:v>
                </c:pt>
                <c:pt idx="1">
                  <c:v>11.339846664024785</c:v>
                </c:pt>
                <c:pt idx="2">
                  <c:v>15.411057011613588</c:v>
                </c:pt>
                <c:pt idx="3">
                  <c:v>17.414887913723124</c:v>
                </c:pt>
                <c:pt idx="4">
                  <c:v>18.87739652061072</c:v>
                </c:pt>
                <c:pt idx="5">
                  <c:v>19.33812118533071</c:v>
                </c:pt>
                <c:pt idx="6">
                  <c:v>19.877350868606019</c:v>
                </c:pt>
                <c:pt idx="7">
                  <c:v>20.120911081241193</c:v>
                </c:pt>
                <c:pt idx="8">
                  <c:v>20.310291138640089</c:v>
                </c:pt>
                <c:pt idx="9">
                  <c:v>20.31673729853782</c:v>
                </c:pt>
                <c:pt idx="10">
                  <c:v>20.41940030151466</c:v>
                </c:pt>
                <c:pt idx="11">
                  <c:v>21.025446601162521</c:v>
                </c:pt>
                <c:pt idx="12">
                  <c:v>21.481735034044668</c:v>
                </c:pt>
                <c:pt idx="13">
                  <c:v>21.717058929944702</c:v>
                </c:pt>
                <c:pt idx="14">
                  <c:v>22.904429787654319</c:v>
                </c:pt>
                <c:pt idx="15">
                  <c:v>22.973463809168397</c:v>
                </c:pt>
                <c:pt idx="16">
                  <c:v>23.225612465697665</c:v>
                </c:pt>
                <c:pt idx="17">
                  <c:v>23.528992751321518</c:v>
                </c:pt>
                <c:pt idx="18">
                  <c:v>28.962433798046504</c:v>
                </c:pt>
                <c:pt idx="19">
                  <c:v>32.901604672813193</c:v>
                </c:pt>
              </c:numCache>
            </c:numRef>
          </c:val>
          <c:extLst>
            <c:ext xmlns:c16="http://schemas.microsoft.com/office/drawing/2014/chart" uri="{C3380CC4-5D6E-409C-BE32-E72D297353CC}">
              <c16:uniqueId val="{00000009-A000-4AF4-8144-BEE06BACDEFC}"/>
            </c:ext>
          </c:extLst>
        </c:ser>
        <c:dLbls>
          <c:showLegendKey val="0"/>
          <c:showVal val="0"/>
          <c:showCatName val="0"/>
          <c:showSerName val="0"/>
          <c:showPercent val="0"/>
          <c:showBubbleSize val="0"/>
        </c:dLbls>
        <c:gapWidth val="99"/>
        <c:axId val="584502968"/>
        <c:axId val="584496080"/>
      </c:barChart>
      <c:catAx>
        <c:axId val="584502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584496080"/>
        <c:crosses val="autoZero"/>
        <c:auto val="1"/>
        <c:lblAlgn val="ctr"/>
        <c:lblOffset val="100"/>
        <c:noMultiLvlLbl val="0"/>
      </c:catAx>
      <c:valAx>
        <c:axId val="584496080"/>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584502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GT"/>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en-US" sz="1200" b="1">
                <a:solidFill>
                  <a:sysClr val="windowText" lastClr="000000"/>
                </a:solidFill>
              </a:rPr>
              <a:t>Ingresos Totales por clasificación MEFP</a:t>
            </a:r>
          </a:p>
          <a:p>
            <a:pPr>
              <a:defRPr/>
            </a:pPr>
            <a:r>
              <a:rPr lang="en-US" sz="1100" b="1">
                <a:solidFill>
                  <a:sysClr val="windowText" lastClr="000000"/>
                </a:solidFill>
              </a:rPr>
              <a:t>Variación interanual acumulada a marzo</a:t>
            </a:r>
            <a:r>
              <a:rPr lang="en-US" sz="1100" b="1" baseline="0">
                <a:solidFill>
                  <a:sysClr val="windowText" lastClr="000000"/>
                </a:solidFill>
              </a:rPr>
              <a:t> </a:t>
            </a:r>
            <a:r>
              <a:rPr lang="en-US" sz="1100" b="1">
                <a:solidFill>
                  <a:sysClr val="windowText" lastClr="000000"/>
                </a:solidFill>
              </a:rPr>
              <a:t>2023*</a:t>
            </a:r>
          </a:p>
          <a:p>
            <a:pPr>
              <a:defRPr/>
            </a:pPr>
            <a:r>
              <a:rPr lang="en-US" sz="1000" b="0">
                <a:solidFill>
                  <a:sysClr val="windowText" lastClr="000000"/>
                </a:solidFill>
              </a:rPr>
              <a:t>En millones de Quetzales</a:t>
            </a:r>
          </a:p>
        </c:rich>
      </c:tx>
      <c:layout>
        <c:manualLayout>
          <c:xMode val="edge"/>
          <c:yMode val="edge"/>
          <c:x val="0.26254132099927324"/>
          <c:y val="0"/>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4.0408336877924285E-2"/>
          <c:y val="0.29378602427171852"/>
          <c:w val="0.94778901254952663"/>
          <c:h val="0.57796990722694319"/>
        </c:manualLayout>
      </c:layout>
      <c:barChart>
        <c:barDir val="col"/>
        <c:grouping val="clustered"/>
        <c:varyColors val="0"/>
        <c:ser>
          <c:idx val="0"/>
          <c:order val="0"/>
          <c:tx>
            <c:strRef>
              <c:f>Hoja1!$B$1</c:f>
              <c:strCache>
                <c:ptCount val="1"/>
                <c:pt idx="0">
                  <c:v>Diferencia acumulada en Q</c:v>
                </c:pt>
              </c:strCache>
            </c:strRef>
          </c:tx>
          <c:spPr>
            <a:solidFill>
              <a:srgbClr val="1F497D"/>
            </a:solidFill>
            <a:ln>
              <a:solidFill>
                <a:schemeClr val="tx1"/>
              </a:solidFill>
            </a:ln>
            <a:effectLst>
              <a:outerShdw blurRad="50800" dist="38100" dir="18900000" algn="bl" rotWithShape="0">
                <a:prstClr val="black">
                  <a:alpha val="40000"/>
                </a:prstClr>
              </a:outerShdw>
            </a:effectLst>
          </c:spPr>
          <c:invertIfNegative val="1"/>
          <c:dPt>
            <c:idx val="0"/>
            <c:invertIfNegative val="1"/>
            <c:bubble3D val="0"/>
            <c:spPr>
              <a:solidFill>
                <a:schemeClr val="tx2"/>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1-87A6-4C68-88CD-2C6CC3BED143}"/>
              </c:ext>
            </c:extLst>
          </c:dPt>
          <c:dPt>
            <c:idx val="3"/>
            <c:invertIfNegative val="0"/>
            <c:bubble3D val="0"/>
            <c:spPr>
              <a:solidFill>
                <a:schemeClr val="accent2"/>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3-87A6-4C68-88CD-2C6CC3BED143}"/>
              </c:ext>
            </c:extLst>
          </c:dPt>
          <c:dPt>
            <c:idx val="4"/>
            <c:invertIfNegative val="0"/>
            <c:bubble3D val="0"/>
            <c:spPr>
              <a:solidFill>
                <a:schemeClr val="accent3"/>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5-87A6-4C68-88CD-2C6CC3BED143}"/>
              </c:ext>
            </c:extLst>
          </c:dPt>
          <c:dLbls>
            <c:dLbl>
              <c:idx val="4"/>
              <c:spPr>
                <a:noFill/>
                <a:ln>
                  <a:noFill/>
                </a:ln>
                <a:effectLst/>
              </c:spPr>
              <c:txPr>
                <a:bodyPr rot="0" spcFirstLastPara="1" vertOverflow="ellipsis" vert="horz" wrap="square" anchor="ctr" anchorCtr="1"/>
                <a:lstStyle/>
                <a:p>
                  <a:pPr>
                    <a:defRPr sz="900" b="0" i="0" u="none" strike="noStrike" kern="1200" baseline="0">
                      <a:solidFill>
                        <a:schemeClr val="accent3">
                          <a:lumMod val="75000"/>
                        </a:schemeClr>
                      </a:solidFill>
                      <a:latin typeface="+mn-lt"/>
                      <a:ea typeface="+mn-ea"/>
                      <a:cs typeface="+mn-cs"/>
                    </a:defRPr>
                  </a:pPr>
                  <a:endParaRPr lang="es-GT"/>
                </a:p>
              </c:txPr>
              <c:showLegendKey val="0"/>
              <c:showVal val="1"/>
              <c:showCatName val="0"/>
              <c:showSerName val="0"/>
              <c:showPercent val="0"/>
              <c:showBubbleSize val="0"/>
              <c:extLst>
                <c:ext xmlns:c16="http://schemas.microsoft.com/office/drawing/2014/chart" uri="{C3380CC4-5D6E-409C-BE32-E72D297353CC}">
                  <c16:uniqueId val="{00000005-87A6-4C68-88CD-2C6CC3BED143}"/>
                </c:ext>
              </c:extLst>
            </c:dLbl>
            <c:spPr>
              <a:noFill/>
              <a:ln>
                <a:noFill/>
              </a:ln>
              <a:effectLst/>
            </c:spPr>
            <c:txPr>
              <a:bodyPr rot="0" spcFirstLastPara="1" vertOverflow="ellipsis" vert="horz" wrap="square" anchor="ctr" anchorCtr="1"/>
              <a:lstStyle/>
              <a:p>
                <a:pPr>
                  <a:defRPr sz="900" b="0" i="0" u="none" strike="noStrike" kern="1200" baseline="0">
                    <a:solidFill>
                      <a:schemeClr val="accent5"/>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Hoja1!$A$2:$A$6</c:f>
              <c:strCache>
                <c:ptCount val="5"/>
                <c:pt idx="0">
                  <c:v>Impuestos </c:v>
                </c:pt>
                <c:pt idx="1">
                  <c:v>Otros ingresos </c:v>
                </c:pt>
                <c:pt idx="2">
                  <c:v>Contribuciones sociales </c:v>
                </c:pt>
                <c:pt idx="3">
                  <c:v>Donaciones </c:v>
                </c:pt>
                <c:pt idx="4">
                  <c:v>Ingresos Totales</c:v>
                </c:pt>
              </c:strCache>
            </c:strRef>
          </c:cat>
          <c:val>
            <c:numRef>
              <c:f>Hoja1!$B$2:$B$6</c:f>
              <c:numCache>
                <c:formatCode>#,##0.0_ ;[Red]\-#,##0.0\ </c:formatCode>
                <c:ptCount val="5"/>
                <c:pt idx="0">
                  <c:v>2288.554801829996</c:v>
                </c:pt>
                <c:pt idx="1">
                  <c:v>177.64047058999995</c:v>
                </c:pt>
                <c:pt idx="2">
                  <c:v>177.27852840000014</c:v>
                </c:pt>
                <c:pt idx="3">
                  <c:v>-0.33170950000000055</c:v>
                </c:pt>
                <c:pt idx="4">
                  <c:v>2643.1420913199959</c:v>
                </c:pt>
              </c:numCache>
            </c:numRef>
          </c:val>
          <c:extLst>
            <c:ext xmlns:c14="http://schemas.microsoft.com/office/drawing/2007/8/2/chart" uri="{6F2FDCE9-48DA-4B69-8628-5D25D57E5C99}">
              <c14:invertSolidFillFmt>
                <c14:spPr xmlns:c14="http://schemas.microsoft.com/office/drawing/2007/8/2/chart">
                  <a:solidFill>
                    <a:srgbClr val="C0504D"/>
                  </a:solidFill>
                  <a:ln>
                    <a:solidFill>
                      <a:schemeClr val="tx1"/>
                    </a:solidFill>
                  </a:ln>
                  <a:effectLst>
                    <a:outerShdw blurRad="50800" dist="38100" dir="18900000" algn="bl" rotWithShape="0">
                      <a:prstClr val="black">
                        <a:alpha val="40000"/>
                      </a:prstClr>
                    </a:outerShdw>
                  </a:effectLst>
                </c14:spPr>
              </c14:invertSolidFillFmt>
            </c:ext>
            <c:ext xmlns:c16="http://schemas.microsoft.com/office/drawing/2014/chart" uri="{C3380CC4-5D6E-409C-BE32-E72D297353CC}">
              <c16:uniqueId val="{00000006-87A6-4C68-88CD-2C6CC3BED143}"/>
            </c:ext>
          </c:extLst>
        </c:ser>
        <c:dLbls>
          <c:showLegendKey val="0"/>
          <c:showVal val="0"/>
          <c:showCatName val="0"/>
          <c:showSerName val="0"/>
          <c:showPercent val="0"/>
          <c:showBubbleSize val="0"/>
        </c:dLbls>
        <c:gapWidth val="267"/>
        <c:axId val="415018800"/>
        <c:axId val="408568416"/>
      </c:barChart>
      <c:catAx>
        <c:axId val="4150188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1"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408568416"/>
        <c:crosses val="autoZero"/>
        <c:auto val="1"/>
        <c:lblAlgn val="ctr"/>
        <c:lblOffset val="100"/>
        <c:noMultiLvlLbl val="0"/>
      </c:catAx>
      <c:valAx>
        <c:axId val="408568416"/>
        <c:scaling>
          <c:orientation val="minMax"/>
        </c:scaling>
        <c:delete val="0"/>
        <c:axPos val="l"/>
        <c:majorGridlines>
          <c:spPr>
            <a:ln w="9525" cap="flat" cmpd="sng" algn="ctr">
              <a:solidFill>
                <a:schemeClr val="dk1">
                  <a:lumMod val="15000"/>
                  <a:lumOff val="85000"/>
                </a:schemeClr>
              </a:solidFill>
              <a:round/>
            </a:ln>
            <a:effectLst/>
          </c:spPr>
        </c:majorGridlines>
        <c:numFmt formatCode="#,##0_ ;[Red]\-#,##0\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1501880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es-GT" sz="1100" b="1" i="0" baseline="0">
                <a:effectLst/>
              </a:rPr>
              <a:t>Impuestos por clasificación MEFP</a:t>
            </a:r>
            <a:endParaRPr lang="es-GT" sz="1100">
              <a:effectLst/>
            </a:endParaRPr>
          </a:p>
          <a:p>
            <a:pPr>
              <a:defRPr sz="1200" b="0">
                <a:solidFill>
                  <a:sysClr val="windowText" lastClr="000000"/>
                </a:solidFill>
              </a:defRPr>
            </a:pPr>
            <a:r>
              <a:rPr lang="es-GT" sz="1100" b="1" i="0" baseline="0">
                <a:effectLst/>
              </a:rPr>
              <a:t>Variación interanual acumulada </a:t>
            </a:r>
          </a:p>
          <a:p>
            <a:pPr>
              <a:defRPr sz="1200" b="0">
                <a:solidFill>
                  <a:sysClr val="windowText" lastClr="000000"/>
                </a:solidFill>
              </a:defRPr>
            </a:pPr>
            <a:r>
              <a:rPr lang="es-GT" sz="1050" b="1" i="0" baseline="0">
                <a:effectLst/>
              </a:rPr>
              <a:t>al 31 de marzo de cada año </a:t>
            </a:r>
            <a:endParaRPr lang="es-GT" sz="1050">
              <a:effectLst/>
            </a:endParaRPr>
          </a:p>
          <a:p>
            <a:pPr>
              <a:defRPr sz="1200" b="0">
                <a:solidFill>
                  <a:sysClr val="windowText" lastClr="000000"/>
                </a:solidFill>
              </a:defRPr>
            </a:pPr>
            <a:r>
              <a:rPr lang="es-GT" sz="1000" b="0" i="0" baseline="0">
                <a:effectLst/>
              </a:rPr>
              <a:t>En millones de quetzales</a:t>
            </a:r>
            <a:endParaRPr lang="es-GT" sz="1000">
              <a:effectLst/>
            </a:endParaRPr>
          </a:p>
        </c:rich>
      </c:tx>
      <c:layout>
        <c:manualLayout>
          <c:xMode val="edge"/>
          <c:yMode val="edge"/>
          <c:x val="0.12525042970608533"/>
          <c:y val="1.507709625468791E-3"/>
        </c:manualLayout>
      </c:layout>
      <c:overlay val="0"/>
      <c:spPr>
        <a:noFill/>
        <a:ln>
          <a:noFill/>
        </a:ln>
        <a:effectLst/>
      </c:spPr>
      <c:txPr>
        <a:bodyPr rot="0" spcFirstLastPara="1" vertOverflow="ellipsis" vert="horz" wrap="square" anchor="ctr" anchorCtr="1"/>
        <a:lstStyle/>
        <a:p>
          <a:pPr>
            <a:defRPr sz="1200" b="0"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53613888850039393"/>
          <c:y val="0.10990792705590115"/>
          <c:w val="0.46386111149960607"/>
          <c:h val="0.82685762885384329"/>
        </c:manualLayout>
      </c:layout>
      <c:barChart>
        <c:barDir val="bar"/>
        <c:grouping val="clustered"/>
        <c:varyColors val="0"/>
        <c:ser>
          <c:idx val="0"/>
          <c:order val="0"/>
          <c:tx>
            <c:strRef>
              <c:f>Hoja1!$B$1</c:f>
              <c:strCache>
                <c:ptCount val="1"/>
                <c:pt idx="0">
                  <c:v>2023*</c:v>
                </c:pt>
              </c:strCache>
            </c:strRef>
          </c:tx>
          <c:spPr>
            <a:solidFill>
              <a:schemeClr val="accent1"/>
            </a:solidFill>
            <a:ln>
              <a:solidFill>
                <a:sysClr val="windowText" lastClr="000000"/>
              </a:solidFill>
            </a:ln>
            <a:effectLst>
              <a:outerShdw blurRad="50800" dist="38100" dir="18900000" algn="bl" rotWithShape="0">
                <a:prstClr val="black">
                  <a:alpha val="40000"/>
                </a:prstClr>
              </a:outerShdw>
            </a:effectLst>
          </c:spPr>
          <c:invertIfNegative val="0"/>
          <c:dPt>
            <c:idx val="0"/>
            <c:invertIfNegative val="0"/>
            <c:bubble3D val="0"/>
            <c:spPr>
              <a:solidFill>
                <a:srgbClr val="00B0F0"/>
              </a:solidFill>
              <a:ln>
                <a:solidFill>
                  <a:sysClr val="windowText" lastClr="000000"/>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1-6035-4FD0-8846-C058D9E2CEE6}"/>
              </c:ext>
            </c:extLst>
          </c:dPt>
          <c:dLbls>
            <c:dLbl>
              <c:idx val="0"/>
              <c:layout>
                <c:manualLayout>
                  <c:x val="3.8995856690226482E-2"/>
                  <c:y val="-1.9169386012336992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35-4FD0-8846-C058D9E2CEE6}"/>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accent1"/>
                    </a:solidFill>
                    <a:latin typeface="+mn-lt"/>
                    <a:ea typeface="+mn-ea"/>
                    <a:cs typeface="+mn-cs"/>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Hoja1!$A$2:$A$7</c:f>
              <c:strCache>
                <c:ptCount val="6"/>
                <c:pt idx="0">
                  <c:v>Impuestos Totales</c:v>
                </c:pt>
                <c:pt idx="1">
                  <c:v>Impuestos sobre el ingreso, las utilidades y las ganancias de capital </c:v>
                </c:pt>
                <c:pt idx="2">
                  <c:v>Impuestos sobre los bienes y servicios </c:v>
                </c:pt>
                <c:pt idx="3">
                  <c:v>Impuestos sobre el comercio y las transacciones internacionales </c:v>
                </c:pt>
                <c:pt idx="4">
                  <c:v>Otros impuestos </c:v>
                </c:pt>
                <c:pt idx="5">
                  <c:v>Impuestos sobre la propiedad </c:v>
                </c:pt>
              </c:strCache>
            </c:strRef>
          </c:cat>
          <c:val>
            <c:numRef>
              <c:f>Hoja1!$B$2:$B$7</c:f>
              <c:numCache>
                <c:formatCode>#,##0.0_ ;[Red]\-#,##0.0\ </c:formatCode>
                <c:ptCount val="6"/>
                <c:pt idx="0" formatCode="_(* #,##0.00_);_(* \(#,##0.00\);_(* &quot;-&quot;??_);_(@_)">
                  <c:v>2288.5548018299992</c:v>
                </c:pt>
                <c:pt idx="1">
                  <c:v>1191.89840439</c:v>
                </c:pt>
                <c:pt idx="2">
                  <c:v>1070.0962571599994</c:v>
                </c:pt>
                <c:pt idx="3">
                  <c:v>27.802933859999825</c:v>
                </c:pt>
                <c:pt idx="4">
                  <c:v>2.0823266699999863</c:v>
                </c:pt>
                <c:pt idx="5">
                  <c:v>-3.3251202500000012</c:v>
                </c:pt>
              </c:numCache>
            </c:numRef>
          </c:val>
          <c:extLst>
            <c:ext xmlns:c16="http://schemas.microsoft.com/office/drawing/2014/chart" uri="{C3380CC4-5D6E-409C-BE32-E72D297353CC}">
              <c16:uniqueId val="{00000002-6035-4FD0-8846-C058D9E2CEE6}"/>
            </c:ext>
          </c:extLst>
        </c:ser>
        <c:ser>
          <c:idx val="1"/>
          <c:order val="1"/>
          <c:tx>
            <c:strRef>
              <c:f>Hoja1!$C$1</c:f>
              <c:strCache>
                <c:ptCount val="1"/>
                <c:pt idx="0">
                  <c:v>2022</c:v>
                </c:pt>
              </c:strCache>
            </c:strRef>
          </c:tx>
          <c:spPr>
            <a:solidFill>
              <a:srgbClr val="9BBB59"/>
            </a:solidFill>
            <a:ln>
              <a:solidFill>
                <a:sysClr val="windowText" lastClr="000000"/>
              </a:solidFill>
            </a:ln>
            <a:effectLst>
              <a:outerShdw blurRad="50800" dist="38100" dir="18900000" algn="bl" rotWithShape="0">
                <a:prstClr val="black">
                  <a:alpha val="40000"/>
                </a:prstClr>
              </a:outerShdw>
            </a:effectLst>
          </c:spPr>
          <c:invertIfNegative val="0"/>
          <c:dPt>
            <c:idx val="0"/>
            <c:invertIfNegative val="0"/>
            <c:bubble3D val="0"/>
            <c:spPr>
              <a:solidFill>
                <a:srgbClr val="9BBB59">
                  <a:lumMod val="60000"/>
                  <a:lumOff val="40000"/>
                </a:srgbClr>
              </a:solidFill>
              <a:ln>
                <a:solidFill>
                  <a:sysClr val="windowText" lastClr="000000"/>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4-6035-4FD0-8846-C058D9E2CEE6}"/>
              </c:ext>
            </c:extLst>
          </c:dPt>
          <c:dLbls>
            <c:dLbl>
              <c:idx val="0"/>
              <c:layout>
                <c:manualLayout>
                  <c:x val="0"/>
                  <c:y val="-4.774631899283403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35-4FD0-8846-C058D9E2CEE6}"/>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accent3">
                        <a:lumMod val="75000"/>
                      </a:schemeClr>
                    </a:solidFill>
                    <a:latin typeface="+mn-lt"/>
                    <a:ea typeface="+mn-ea"/>
                    <a:cs typeface="+mn-cs"/>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Hoja1!$A$2:$A$7</c:f>
              <c:strCache>
                <c:ptCount val="6"/>
                <c:pt idx="0">
                  <c:v>Impuestos Totales</c:v>
                </c:pt>
                <c:pt idx="1">
                  <c:v>Impuestos sobre el ingreso, las utilidades y las ganancias de capital </c:v>
                </c:pt>
                <c:pt idx="2">
                  <c:v>Impuestos sobre los bienes y servicios </c:v>
                </c:pt>
                <c:pt idx="3">
                  <c:v>Impuestos sobre el comercio y las transacciones internacionales </c:v>
                </c:pt>
                <c:pt idx="4">
                  <c:v>Otros impuestos </c:v>
                </c:pt>
                <c:pt idx="5">
                  <c:v>Impuestos sobre la propiedad </c:v>
                </c:pt>
              </c:strCache>
            </c:strRef>
          </c:cat>
          <c:val>
            <c:numRef>
              <c:f>Hoja1!$C$2:$C$7</c:f>
              <c:numCache>
                <c:formatCode>_(* #,##0.00_);_(* \(#,##0.00\);_(* "-"??_);_(@_)</c:formatCode>
                <c:ptCount val="6"/>
                <c:pt idx="0">
                  <c:v>2806.0219218600009</c:v>
                </c:pt>
                <c:pt idx="1">
                  <c:v>1162.0328439000014</c:v>
                </c:pt>
                <c:pt idx="2">
                  <c:v>1433.8676340599995</c:v>
                </c:pt>
                <c:pt idx="3">
                  <c:v>185.11854051</c:v>
                </c:pt>
                <c:pt idx="4">
                  <c:v>20.657380590000002</c:v>
                </c:pt>
                <c:pt idx="5">
                  <c:v>4.3455228000000004</c:v>
                </c:pt>
              </c:numCache>
            </c:numRef>
          </c:val>
          <c:extLst>
            <c:ext xmlns:c16="http://schemas.microsoft.com/office/drawing/2014/chart" uri="{C3380CC4-5D6E-409C-BE32-E72D297353CC}">
              <c16:uniqueId val="{00000005-6035-4FD0-8846-C058D9E2CEE6}"/>
            </c:ext>
          </c:extLst>
        </c:ser>
        <c:dLbls>
          <c:showLegendKey val="0"/>
          <c:showVal val="0"/>
          <c:showCatName val="0"/>
          <c:showSerName val="0"/>
          <c:showPercent val="0"/>
          <c:showBubbleSize val="0"/>
        </c:dLbls>
        <c:gapWidth val="247"/>
        <c:axId val="1916956256"/>
        <c:axId val="1924152624"/>
      </c:barChart>
      <c:catAx>
        <c:axId val="1916956256"/>
        <c:scaling>
          <c:orientation val="minMax"/>
        </c:scaling>
        <c:delete val="0"/>
        <c:axPos val="l"/>
        <c:majorGridlines>
          <c:spPr>
            <a:ln w="9525" cap="flat" cmpd="sng" algn="ctr">
              <a:solidFill>
                <a:schemeClr val="dk1">
                  <a:lumMod val="15000"/>
                  <a:lumOff val="85000"/>
                </a:schemeClr>
              </a:solidFill>
              <a:round/>
            </a:ln>
            <a:effectLst/>
          </c:spPr>
        </c:majorGridlines>
        <c:minorGridlines>
          <c:spPr>
            <a:ln w="9525" cap="flat" cmpd="sng" algn="ctr">
              <a:solidFill>
                <a:schemeClr val="dk1">
                  <a:lumMod val="5000"/>
                  <a:lumOff val="95000"/>
                </a:schemeClr>
              </a:solidFill>
              <a:round/>
            </a:ln>
            <a:effectLst/>
          </c:spPr>
        </c:minorGridlines>
        <c:numFmt formatCode="@" sourceLinked="0"/>
        <c:majorTickMark val="out"/>
        <c:minorTickMark val="none"/>
        <c:tickLblPos val="low"/>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900" b="1"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1924152624"/>
        <c:crosses val="autoZero"/>
        <c:auto val="1"/>
        <c:lblAlgn val="ctr"/>
        <c:lblOffset val="100"/>
        <c:noMultiLvlLbl val="0"/>
      </c:catAx>
      <c:valAx>
        <c:axId val="1924152624"/>
        <c:scaling>
          <c:orientation val="minMax"/>
          <c:max val="5000"/>
        </c:scaling>
        <c:delete val="1"/>
        <c:axPos val="b"/>
        <c:numFmt formatCode="_(* #,##0.00_);_(* \(#,##0.00\);_(* &quot;-&quot;??_);_(@_)" sourceLinked="1"/>
        <c:majorTickMark val="out"/>
        <c:minorTickMark val="none"/>
        <c:tickLblPos val="nextTo"/>
        <c:crossAx val="1916956256"/>
        <c:crosses val="autoZero"/>
        <c:crossBetween val="between"/>
      </c:valAx>
      <c:spPr>
        <a:pattFill prst="ltDnDiag">
          <a:fgClr>
            <a:schemeClr val="dk1">
              <a:lumMod val="15000"/>
              <a:lumOff val="85000"/>
            </a:schemeClr>
          </a:fgClr>
          <a:bgClr>
            <a:schemeClr val="lt1"/>
          </a:bgClr>
        </a:pattFill>
        <a:ln>
          <a:noFill/>
        </a:ln>
        <a:effectLst/>
      </c:spPr>
    </c:plotArea>
    <c:legend>
      <c:legendPos val="r"/>
      <c:layout>
        <c:manualLayout>
          <c:xMode val="edge"/>
          <c:yMode val="edge"/>
          <c:x val="0.80660909546200721"/>
          <c:y val="0.1042848772074161"/>
          <c:w val="0.18879720873214204"/>
          <c:h val="4.2667033494658287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ln>
                  <a:noFill/>
                </a:ln>
                <a:solidFill>
                  <a:schemeClr val="dk1">
                    <a:lumMod val="50000"/>
                    <a:lumOff val="50000"/>
                  </a:schemeClr>
                </a:solidFill>
                <a:latin typeface="Times New Roman" panose="02020603050405020304" pitchFamily="18" charset="0"/>
                <a:ea typeface="+mn-ea"/>
                <a:cs typeface="Times New Roman" panose="02020603050405020304" pitchFamily="18" charset="0"/>
              </a:defRPr>
            </a:pPr>
            <a:r>
              <a:rPr lang="en-US" sz="1100" b="1" i="0" baseline="0">
                <a:solidFill>
                  <a:sysClr val="windowText" lastClr="000000"/>
                </a:solidFill>
                <a:effectLst/>
              </a:rPr>
              <a:t>Gasto Total</a:t>
            </a:r>
            <a:endParaRPr lang="es-GT" sz="1100" b="1">
              <a:solidFill>
                <a:sysClr val="windowText" lastClr="000000"/>
              </a:solidFill>
              <a:effectLst/>
            </a:endParaRPr>
          </a:p>
          <a:p>
            <a:pPr>
              <a:defRPr>
                <a:ln>
                  <a:noFill/>
                </a:ln>
              </a:defRPr>
            </a:pPr>
            <a:r>
              <a:rPr lang="en-US" sz="1050" b="1" i="0" baseline="0">
                <a:solidFill>
                  <a:sysClr val="windowText" lastClr="000000"/>
                </a:solidFill>
                <a:effectLst/>
              </a:rPr>
              <a:t>Variación internanual acumulada </a:t>
            </a:r>
          </a:p>
          <a:p>
            <a:pPr>
              <a:defRPr>
                <a:ln>
                  <a:noFill/>
                </a:ln>
              </a:defRPr>
            </a:pPr>
            <a:r>
              <a:rPr lang="en-US" sz="1050" b="1" i="0" baseline="0">
                <a:solidFill>
                  <a:sysClr val="windowText" lastClr="000000"/>
                </a:solidFill>
                <a:effectLst/>
              </a:rPr>
              <a:t>al 31 de marzo de cada año</a:t>
            </a:r>
            <a:endParaRPr lang="es-GT" sz="1050" b="1">
              <a:solidFill>
                <a:sysClr val="windowText" lastClr="000000"/>
              </a:solidFill>
              <a:effectLst/>
            </a:endParaRPr>
          </a:p>
          <a:p>
            <a:pPr>
              <a:defRPr>
                <a:ln>
                  <a:noFill/>
                </a:ln>
              </a:defRPr>
            </a:pPr>
            <a:r>
              <a:rPr lang="en-US" sz="1000" b="0" i="0" baseline="0">
                <a:solidFill>
                  <a:sysClr val="windowText" lastClr="000000"/>
                </a:solidFill>
                <a:effectLst/>
              </a:rPr>
              <a:t>En porcentaje</a:t>
            </a:r>
            <a:endParaRPr lang="es-GT" sz="1000" b="0">
              <a:solidFill>
                <a:sysClr val="windowText" lastClr="000000"/>
              </a:solidFill>
            </a:endParaRPr>
          </a:p>
        </c:rich>
      </c:tx>
      <c:layout>
        <c:manualLayout>
          <c:xMode val="edge"/>
          <c:yMode val="edge"/>
          <c:x val="0.1199345497891748"/>
          <c:y val="0"/>
        </c:manualLayout>
      </c:layout>
      <c:overlay val="0"/>
      <c:spPr>
        <a:noFill/>
        <a:ln>
          <a:noFill/>
        </a:ln>
        <a:effectLst/>
      </c:spPr>
      <c:txPr>
        <a:bodyPr rot="0" spcFirstLastPara="1" vertOverflow="ellipsis" vert="horz" wrap="square" anchor="ctr" anchorCtr="1"/>
        <a:lstStyle/>
        <a:p>
          <a:pPr>
            <a:defRPr sz="1400" b="0" i="0" u="none" strike="noStrike" kern="1200" cap="none" spc="20" baseline="0">
              <a:ln>
                <a:noFill/>
              </a:ln>
              <a:solidFill>
                <a:schemeClr val="dk1">
                  <a:lumMod val="50000"/>
                  <a:lumOff val="50000"/>
                </a:schemeClr>
              </a:solidFill>
              <a:latin typeface="Times New Roman" panose="02020603050405020304" pitchFamily="18" charset="0"/>
              <a:ea typeface="+mn-ea"/>
              <a:cs typeface="Times New Roman" panose="02020603050405020304" pitchFamily="18" charset="0"/>
            </a:defRPr>
          </a:pPr>
          <a:endParaRPr lang="es-GT"/>
        </a:p>
      </c:txPr>
    </c:title>
    <c:autoTitleDeleted val="0"/>
    <c:plotArea>
      <c:layout>
        <c:manualLayout>
          <c:layoutTarget val="inner"/>
          <c:xMode val="edge"/>
          <c:yMode val="edge"/>
          <c:x val="0"/>
          <c:y val="0.42342783068346818"/>
          <c:w val="0.98959481325520382"/>
          <c:h val="0.37577927104661663"/>
        </c:manualLayout>
      </c:layout>
      <c:barChart>
        <c:barDir val="col"/>
        <c:grouping val="clustered"/>
        <c:varyColors val="0"/>
        <c:ser>
          <c:idx val="0"/>
          <c:order val="1"/>
          <c:tx>
            <c:strRef>
              <c:f>Hoja1!$C$1</c:f>
              <c:strCache>
                <c:ptCount val="1"/>
                <c:pt idx="0">
                  <c:v>2022</c:v>
                </c:pt>
              </c:strCache>
            </c:strRef>
          </c:tx>
          <c:spPr>
            <a:solidFill>
              <a:srgbClr val="C0504D"/>
            </a:solidFill>
            <a:ln w="9525" cap="flat" cmpd="sng" algn="ctr">
              <a:solidFill>
                <a:sysClr val="windowText" lastClr="000000"/>
              </a:solidFill>
              <a:round/>
              <a:tailEnd type="triangle"/>
            </a:ln>
            <a:effectLst>
              <a:outerShdw blurRad="50800" dist="38100" dir="18900000" algn="bl" rotWithShape="0">
                <a:prstClr val="black">
                  <a:alpha val="40000"/>
                </a:prstClr>
              </a:outerShdw>
            </a:effectLst>
          </c:spPr>
          <c:invertIfNegative val="0"/>
          <c:dLbls>
            <c:dLbl>
              <c:idx val="0"/>
              <c:layout>
                <c:manualLayout>
                  <c:x val="-5.4769328330602973E-3"/>
                  <c:y val="-1.05797639169450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A9-4828-8279-56D853DEA497}"/>
                </c:ext>
              </c:extLst>
            </c:dLbl>
            <c:dLbl>
              <c:idx val="1"/>
              <c:layout>
                <c:manualLayout>
                  <c:x val="-2.3724215681094375E-3"/>
                  <c:y val="-3.79986533096975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A9-4828-8279-56D853DEA497}"/>
                </c:ext>
              </c:extLst>
            </c:dLbl>
            <c:dLbl>
              <c:idx val="3"/>
              <c:layout>
                <c:manualLayout>
                  <c:x val="-4.4296788482834993E-3"/>
                  <c:y val="-3.46220427005193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A9-4828-8279-56D853DEA497}"/>
                </c:ext>
              </c:extLst>
            </c:dLbl>
            <c:dLbl>
              <c:idx val="4"/>
              <c:layout>
                <c:manualLayout>
                  <c:x val="-8.120984074218733E-17"/>
                  <c:y val="-1.73110213502596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A9-4828-8279-56D853DEA497}"/>
                </c:ext>
              </c:extLst>
            </c:dLbl>
            <c:dLbl>
              <c:idx val="5"/>
              <c:layout>
                <c:manualLayout>
                  <c:x val="-4.4296788482836615E-3"/>
                  <c:y val="5.28735841083915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A9-4828-8279-56D853DEA497}"/>
                </c:ext>
              </c:extLst>
            </c:dLbl>
            <c:dLbl>
              <c:idx val="7"/>
              <c:layout>
                <c:manualLayout>
                  <c:x val="2.1266839815435269E-3"/>
                  <c:y val="-7.958693687879178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A9-4828-8279-56D853DEA497}"/>
                </c:ext>
              </c:extLst>
            </c:dLbl>
            <c:dLbl>
              <c:idx val="8"/>
              <c:layout>
                <c:manualLayout>
                  <c:x val="-2.1983033615832E-3"/>
                  <c:y val="-2.802289058130068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A9-4828-8279-56D853DEA497}"/>
                </c:ext>
              </c:extLst>
            </c:dLbl>
            <c:dLbl>
              <c:idx val="9"/>
              <c:layout>
                <c:manualLayout>
                  <c:x val="0"/>
                  <c:y val="-1.061124736457123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A9-4828-8279-56D853DEA497}"/>
                </c:ext>
              </c:extLst>
            </c:dLbl>
            <c:spPr>
              <a:noFill/>
              <a:ln>
                <a:noFill/>
              </a:ln>
              <a:effectLst/>
            </c:spPr>
            <c:txPr>
              <a:bodyPr rot="0" spcFirstLastPara="1" vertOverflow="ellipsis" vert="horz" wrap="square" anchor="ctr" anchorCtr="1"/>
              <a:lstStyle/>
              <a:p>
                <a:pPr>
                  <a:defRPr sz="700" b="1" i="0" u="none" strike="noStrike" kern="1200" baseline="0">
                    <a:solidFill>
                      <a:srgbClr val="C0504D"/>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Enero</c:v>
                </c:pt>
                <c:pt idx="1">
                  <c:v>Febrero</c:v>
                </c:pt>
                <c:pt idx="2">
                  <c:v>Marzo</c:v>
                </c:pt>
              </c:strCache>
            </c:strRef>
          </c:cat>
          <c:val>
            <c:numRef>
              <c:f>Hoja1!$C$2:$C$4</c:f>
              <c:numCache>
                <c:formatCode>_-* #,##0.0_-;\-* #,##0.0_-;_-* "-"??_-;_-@_-</c:formatCode>
                <c:ptCount val="3"/>
                <c:pt idx="0">
                  <c:v>7.230133261633398</c:v>
                </c:pt>
                <c:pt idx="1">
                  <c:v>15.177351148453422</c:v>
                </c:pt>
                <c:pt idx="2">
                  <c:v>17.795837335675735</c:v>
                </c:pt>
              </c:numCache>
            </c:numRef>
          </c:val>
          <c:extLst>
            <c:ext xmlns:c16="http://schemas.microsoft.com/office/drawing/2014/chart" uri="{C3380CC4-5D6E-409C-BE32-E72D297353CC}">
              <c16:uniqueId val="{00000008-91A9-4828-8279-56D853DEA497}"/>
            </c:ext>
          </c:extLst>
        </c:ser>
        <c:dLbls>
          <c:dLblPos val="ctr"/>
          <c:showLegendKey val="0"/>
          <c:showVal val="1"/>
          <c:showCatName val="0"/>
          <c:showSerName val="0"/>
          <c:showPercent val="0"/>
          <c:showBubbleSize val="0"/>
        </c:dLbls>
        <c:gapWidth val="73"/>
        <c:axId val="1509281743"/>
        <c:axId val="344873055"/>
      </c:barChart>
      <c:lineChart>
        <c:grouping val="standard"/>
        <c:varyColors val="0"/>
        <c:ser>
          <c:idx val="2"/>
          <c:order val="0"/>
          <c:tx>
            <c:strRef>
              <c:f>Hoja1!$B$1</c:f>
              <c:strCache>
                <c:ptCount val="1"/>
                <c:pt idx="0">
                  <c:v>2023*</c:v>
                </c:pt>
              </c:strCache>
            </c:strRef>
          </c:tx>
          <c:spPr>
            <a:ln w="31750" cap="rnd" cmpd="sng" algn="ctr">
              <a:solidFill>
                <a:schemeClr val="accent4"/>
              </a:solidFill>
              <a:round/>
              <a:tailEnd type="triangle"/>
            </a:ln>
            <a:effectLst>
              <a:outerShdw blurRad="50800" dist="38100" dir="18900000" algn="bl" rotWithShape="0">
                <a:prstClr val="black">
                  <a:alpha val="40000"/>
                </a:prstClr>
              </a:outerShdw>
            </a:effectLst>
          </c:spPr>
          <c:marker>
            <c:symbol val="circle"/>
            <c:size val="6"/>
            <c:spPr>
              <a:solidFill>
                <a:sysClr val="window" lastClr="FFFFFF"/>
              </a:solidFill>
              <a:ln w="9525" cap="flat" cmpd="sng" algn="ctr">
                <a:solidFill>
                  <a:sysClr val="windowText" lastClr="000000"/>
                </a:solidFill>
                <a:round/>
              </a:ln>
              <a:effectLst>
                <a:outerShdw blurRad="50800" dist="38100" dir="18900000" algn="bl" rotWithShape="0">
                  <a:prstClr val="black">
                    <a:alpha val="40000"/>
                  </a:prstClr>
                </a:outerShdw>
              </a:effectLst>
            </c:spPr>
          </c:marker>
          <c:dPt>
            <c:idx val="8"/>
            <c:marker>
              <c:symbol val="circle"/>
              <c:size val="6"/>
              <c:spPr>
                <a:solidFill>
                  <a:sysClr val="window" lastClr="FFFFFF"/>
                </a:solidFill>
                <a:ln w="9525" cap="flat" cmpd="sng" algn="ctr">
                  <a:solidFill>
                    <a:sysClr val="windowText" lastClr="000000"/>
                  </a:solidFill>
                  <a:round/>
                </a:ln>
                <a:effectLst>
                  <a:outerShdw blurRad="50800" dist="38100" dir="18900000" algn="bl" rotWithShape="0">
                    <a:prstClr val="black">
                      <a:alpha val="40000"/>
                    </a:prstClr>
                  </a:outerShdw>
                </a:effectLst>
              </c:spPr>
            </c:marker>
            <c:bubble3D val="0"/>
            <c:extLst>
              <c:ext xmlns:c16="http://schemas.microsoft.com/office/drawing/2014/chart" uri="{C3380CC4-5D6E-409C-BE32-E72D297353CC}">
                <c16:uniqueId val="{00000009-91A9-4828-8279-56D853DEA497}"/>
              </c:ext>
            </c:extLst>
          </c:dPt>
          <c:dPt>
            <c:idx val="11"/>
            <c:marker>
              <c:symbol val="none"/>
            </c:marker>
            <c:bubble3D val="0"/>
            <c:extLst>
              <c:ext xmlns:c16="http://schemas.microsoft.com/office/drawing/2014/chart" uri="{C3380CC4-5D6E-409C-BE32-E72D297353CC}">
                <c16:uniqueId val="{0000000A-91A9-4828-8279-56D853DEA497}"/>
              </c:ext>
            </c:extLst>
          </c:dPt>
          <c:dLbls>
            <c:dLbl>
              <c:idx val="0"/>
              <c:layout>
                <c:manualLayout>
                  <c:x val="-4.3509843548699162E-2"/>
                  <c:y val="-6.92820446624499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1A9-4828-8279-56D853DEA497}"/>
                </c:ext>
              </c:extLst>
            </c:dLbl>
            <c:dLbl>
              <c:idx val="1"/>
              <c:layout>
                <c:manualLayout>
                  <c:x val="-7.8469234969789844E-2"/>
                  <c:y val="-0.1129465492206144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1A9-4828-8279-56D853DEA497}"/>
                </c:ext>
              </c:extLst>
            </c:dLbl>
            <c:dLbl>
              <c:idx val="2"/>
              <c:layout>
                <c:manualLayout>
                  <c:x val="-7.9047719706177674E-2"/>
                  <c:y val="-0.1307585897312574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1A9-4828-8279-56D853DEA497}"/>
                </c:ext>
              </c:extLst>
            </c:dLbl>
            <c:dLbl>
              <c:idx val="3"/>
              <c:layout>
                <c:manualLayout>
                  <c:x val="-7.0863700177012753E-2"/>
                  <c:y val="-0.1291547587134412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1A9-4828-8279-56D853DEA497}"/>
                </c:ext>
              </c:extLst>
            </c:dLbl>
            <c:dLbl>
              <c:idx val="4"/>
              <c:layout>
                <c:manualLayout>
                  <c:x val="-7.0863700177012837E-2"/>
                  <c:y val="-0.1176140778132681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1A9-4828-8279-56D853DEA497}"/>
                </c:ext>
              </c:extLst>
            </c:dLbl>
            <c:dLbl>
              <c:idx val="5"/>
              <c:layout>
                <c:manualLayout>
                  <c:x val="-3.2731538458372338E-2"/>
                  <c:y val="-0.1372170191148892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1A9-4828-8279-56D853DEA497}"/>
                </c:ext>
              </c:extLst>
            </c:dLbl>
            <c:spPr>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Enero</c:v>
                </c:pt>
                <c:pt idx="1">
                  <c:v>Febrero</c:v>
                </c:pt>
                <c:pt idx="2">
                  <c:v>Marzo</c:v>
                </c:pt>
              </c:strCache>
            </c:strRef>
          </c:cat>
          <c:val>
            <c:numRef>
              <c:f>Hoja1!$B$2:$B$4</c:f>
              <c:numCache>
                <c:formatCode>_-* #,##0.0_-;\-* #,##0.0_-;_-* "-"??_-;_-@_-</c:formatCode>
                <c:ptCount val="3"/>
                <c:pt idx="0">
                  <c:v>15.726693071725339</c:v>
                </c:pt>
                <c:pt idx="1">
                  <c:v>17.044355069200478</c:v>
                </c:pt>
                <c:pt idx="2">
                  <c:v>17.706204754706121</c:v>
                </c:pt>
              </c:numCache>
            </c:numRef>
          </c:val>
          <c:smooth val="1"/>
          <c:extLst>
            <c:ext xmlns:c16="http://schemas.microsoft.com/office/drawing/2014/chart" uri="{C3380CC4-5D6E-409C-BE32-E72D297353CC}">
              <c16:uniqueId val="{00000011-91A9-4828-8279-56D853DEA497}"/>
            </c:ext>
          </c:extLst>
        </c:ser>
        <c:dLbls>
          <c:showLegendKey val="0"/>
          <c:showVal val="0"/>
          <c:showCatName val="0"/>
          <c:showSerName val="0"/>
          <c:showPercent val="0"/>
          <c:showBubbleSize val="0"/>
        </c:dLbls>
        <c:marker val="1"/>
        <c:smooth val="0"/>
        <c:axId val="1509281743"/>
        <c:axId val="344873055"/>
      </c:lineChart>
      <c:catAx>
        <c:axId val="1509281743"/>
        <c:scaling>
          <c:orientation val="minMax"/>
        </c:scaling>
        <c:delete val="0"/>
        <c:axPos val="b"/>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344873055"/>
        <c:crosses val="autoZero"/>
        <c:auto val="1"/>
        <c:lblAlgn val="ctr"/>
        <c:lblOffset val="100"/>
        <c:noMultiLvlLbl val="0"/>
      </c:catAx>
      <c:valAx>
        <c:axId val="344873055"/>
        <c:scaling>
          <c:orientation val="minMax"/>
        </c:scaling>
        <c:delete val="0"/>
        <c:axPos val="l"/>
        <c:numFmt formatCode="#,##0_ ;[Red]\-#,##0\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509281743"/>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49635540523877469"/>
          <c:y val="0.90744073091407051"/>
          <c:w val="0.49690570557874897"/>
          <c:h val="9.040087937725732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i="0" baseline="0">
                <a:effectLst/>
              </a:rPr>
              <a:t>Gasto Total por clasificación MEFP</a:t>
            </a:r>
            <a:endParaRPr lang="es-GT" sz="1200">
              <a:effectLst/>
            </a:endParaRPr>
          </a:p>
          <a:p>
            <a:pPr>
              <a:defRPr>
                <a:solidFill>
                  <a:sysClr val="windowText" lastClr="000000"/>
                </a:solidFill>
              </a:defRPr>
            </a:pPr>
            <a:r>
              <a:rPr lang="en-US" sz="1100" b="1" i="0" baseline="0">
                <a:effectLst/>
              </a:rPr>
              <a:t>Variación interanual acumulada al 31 de marzo 2023*</a:t>
            </a:r>
            <a:endParaRPr lang="es-GT" sz="1100">
              <a:effectLst/>
            </a:endParaRPr>
          </a:p>
          <a:p>
            <a:pPr>
              <a:defRPr>
                <a:solidFill>
                  <a:sysClr val="windowText" lastClr="000000"/>
                </a:solidFill>
              </a:defRPr>
            </a:pPr>
            <a:r>
              <a:rPr lang="en-US" sz="1000" b="0" i="0" baseline="0">
                <a:effectLst/>
              </a:rPr>
              <a:t>En millones de Quetzales</a:t>
            </a:r>
            <a:endParaRPr lang="es-GT" sz="1000">
              <a:effectLst/>
            </a:endParaRPr>
          </a:p>
        </c:rich>
      </c:tx>
      <c:layout>
        <c:manualLayout>
          <c:xMode val="edge"/>
          <c:yMode val="edge"/>
          <c:x val="0.23123619614662261"/>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title>
    <c:autoTitleDeleted val="0"/>
    <c:plotArea>
      <c:layout>
        <c:manualLayout>
          <c:layoutTarget val="inner"/>
          <c:xMode val="edge"/>
          <c:yMode val="edge"/>
          <c:x val="0"/>
          <c:y val="0.22489561404529013"/>
          <c:w val="1"/>
          <c:h val="0.53533847412352631"/>
        </c:manualLayout>
      </c:layout>
      <c:barChart>
        <c:barDir val="col"/>
        <c:grouping val="clustered"/>
        <c:varyColors val="0"/>
        <c:ser>
          <c:idx val="0"/>
          <c:order val="0"/>
          <c:tx>
            <c:strRef>
              <c:f>Hoja1!$B$1</c:f>
              <c:strCache>
                <c:ptCount val="1"/>
                <c:pt idx="0">
                  <c:v>2023*</c:v>
                </c:pt>
              </c:strCache>
            </c:strRef>
          </c:tx>
          <c:spPr>
            <a:solidFill>
              <a:srgbClr val="70AD47"/>
            </a:solidFill>
            <a:ln>
              <a:solidFill>
                <a:sysClr val="windowText" lastClr="000000"/>
              </a:solidFill>
            </a:ln>
            <a:effectLst>
              <a:outerShdw blurRad="50800" dist="38100" dir="18900000" algn="bl" rotWithShape="0">
                <a:prstClr val="black">
                  <a:alpha val="40000"/>
                </a:prstClr>
              </a:outerShdw>
            </a:effectLst>
            <a:scene3d>
              <a:camera prst="orthographicFront"/>
              <a:lightRig rig="threePt" dir="t">
                <a:rot lat="0" lon="0" rev="1200000"/>
              </a:lightRig>
            </a:scene3d>
            <a:sp3d/>
          </c:spPr>
          <c:invertIfNegative val="1"/>
          <c:dPt>
            <c:idx val="0"/>
            <c:invertIfNegative val="0"/>
            <c:bubble3D val="0"/>
            <c:spPr>
              <a:solidFill>
                <a:srgbClr val="C00000"/>
              </a:solidFill>
              <a:ln>
                <a:solidFill>
                  <a:sysClr val="windowText" lastClr="000000"/>
                </a:solidFill>
              </a:ln>
              <a:effectLst>
                <a:outerShdw blurRad="50800" dist="38100" dir="18900000" algn="bl" rotWithShape="0">
                  <a:prstClr val="black">
                    <a:alpha val="40000"/>
                  </a:prstClr>
                </a:outerShdw>
              </a:effectLst>
              <a:scene3d>
                <a:camera prst="orthographicFront"/>
                <a:lightRig rig="threePt" dir="t">
                  <a:rot lat="0" lon="0" rev="1200000"/>
                </a:lightRig>
              </a:scene3d>
              <a:sp3d/>
            </c:spPr>
            <c:extLst>
              <c:ext xmlns:c16="http://schemas.microsoft.com/office/drawing/2014/chart" uri="{C3380CC4-5D6E-409C-BE32-E72D297353CC}">
                <c16:uniqueId val="{00000001-DE00-4EA7-9C72-EB9A7ED39A91}"/>
              </c:ext>
            </c:extLst>
          </c:dPt>
          <c:dLbls>
            <c:dLbl>
              <c:idx val="0"/>
              <c:spPr>
                <a:noFill/>
                <a:ln>
                  <a:noFill/>
                </a:ln>
                <a:effectLst/>
              </c:spPr>
              <c:txPr>
                <a:bodyPr rot="0" spcFirstLastPara="1" vertOverflow="ellipsis" vert="horz" wrap="square" anchor="ctr" anchorCtr="1"/>
                <a:lstStyle/>
                <a:p>
                  <a:pPr>
                    <a:defRPr sz="800" b="0"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6="http://schemas.microsoft.com/office/drawing/2014/chart" uri="{C3380CC4-5D6E-409C-BE32-E72D297353CC}">
                  <c16:uniqueId val="{00000001-DE00-4EA7-9C72-EB9A7ED39A91}"/>
                </c:ext>
              </c:extLst>
            </c:dLbl>
            <c:dLbl>
              <c:idx val="7"/>
              <c:layout>
                <c:manualLayout>
                  <c:x val="0"/>
                  <c:y val="1.24057055542151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00-4EA7-9C72-EB9A7ED39A91}"/>
                </c:ext>
              </c:extLst>
            </c:dLbl>
            <c:spPr>
              <a:noFill/>
              <a:ln>
                <a:noFill/>
              </a:ln>
              <a:effectLst/>
            </c:spPr>
            <c:txPr>
              <a:bodyPr rot="0" spcFirstLastPara="1" vertOverflow="ellipsis" vert="horz" wrap="square" anchor="ctr" anchorCtr="1"/>
              <a:lstStyle/>
              <a:p>
                <a:pPr>
                  <a:defRPr sz="800" b="0" i="0" u="none" strike="noStrike" kern="1200" baseline="0">
                    <a:solidFill>
                      <a:schemeClr val="accent3"/>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Hoja1!$A$2:$A$9</c:f>
              <c:strCache>
                <c:ptCount val="8"/>
                <c:pt idx="0">
                  <c:v>Gasto total</c:v>
                </c:pt>
                <c:pt idx="1">
                  <c:v>Uso de bienes y servicios  </c:v>
                </c:pt>
                <c:pt idx="2">
                  <c:v>Remuneración a los empleados </c:v>
                </c:pt>
                <c:pt idx="3">
                  <c:v>Donaciones </c:v>
                </c:pt>
                <c:pt idx="4">
                  <c:v>Intereses </c:v>
                </c:pt>
                <c:pt idx="5">
                  <c:v>Otros gastos </c:v>
                </c:pt>
                <c:pt idx="6">
                  <c:v>Prestaciones sociales </c:v>
                </c:pt>
                <c:pt idx="7">
                  <c:v>Subsidios </c:v>
                </c:pt>
              </c:strCache>
            </c:strRef>
          </c:cat>
          <c:val>
            <c:numRef>
              <c:f>Hoja1!$B$2:$B$9</c:f>
              <c:numCache>
                <c:formatCode>#,##0.0_ ;[Red]\-#,##0.0\ </c:formatCode>
                <c:ptCount val="8"/>
                <c:pt idx="0">
                  <c:v>3589.6600681799982</c:v>
                </c:pt>
                <c:pt idx="1">
                  <c:v>923.25418781000008</c:v>
                </c:pt>
                <c:pt idx="2">
                  <c:v>758.05476525999802</c:v>
                </c:pt>
                <c:pt idx="3">
                  <c:v>617.22253131999969</c:v>
                </c:pt>
                <c:pt idx="4">
                  <c:v>607.13414469999998</c:v>
                </c:pt>
                <c:pt idx="5">
                  <c:v>395.01906369000039</c:v>
                </c:pt>
                <c:pt idx="6">
                  <c:v>270.15249940000012</c:v>
                </c:pt>
                <c:pt idx="7">
                  <c:v>18.822876000000008</c:v>
                </c:pt>
              </c:numCache>
            </c:numRef>
          </c:val>
          <c:extLst>
            <c:ext xmlns:c14="http://schemas.microsoft.com/office/drawing/2007/8/2/chart" uri="{6F2FDCE9-48DA-4B69-8628-5D25D57E5C99}">
              <c14:invertSolidFillFmt>
                <c14:spPr xmlns:c14="http://schemas.microsoft.com/office/drawing/2007/8/2/chart">
                  <a:solidFill>
                    <a:srgbClr val="FF0000"/>
                  </a:solidFill>
                  <a:ln>
                    <a:solidFill>
                      <a:sysClr val="windowText" lastClr="000000"/>
                    </a:solidFill>
                  </a:ln>
                  <a:effectLst>
                    <a:outerShdw blurRad="50800" dist="38100" dir="18900000" algn="bl" rotWithShape="0">
                      <a:prstClr val="black">
                        <a:alpha val="40000"/>
                      </a:prstClr>
                    </a:outerShdw>
                  </a:effectLst>
                  <a:scene3d>
                    <a:camera prst="orthographicFront"/>
                    <a:lightRig rig="threePt" dir="t">
                      <a:rot lat="0" lon="0" rev="1200000"/>
                    </a:lightRig>
                  </a:scene3d>
                  <a:sp3d/>
                </c14:spPr>
              </c14:invertSolidFillFmt>
            </c:ext>
            <c:ext xmlns:c16="http://schemas.microsoft.com/office/drawing/2014/chart" uri="{C3380CC4-5D6E-409C-BE32-E72D297353CC}">
              <c16:uniqueId val="{00000003-DE00-4EA7-9C72-EB9A7ED39A91}"/>
            </c:ext>
          </c:extLst>
        </c:ser>
        <c:dLbls>
          <c:showLegendKey val="0"/>
          <c:showVal val="0"/>
          <c:showCatName val="0"/>
          <c:showSerName val="0"/>
          <c:showPercent val="0"/>
          <c:showBubbleSize val="0"/>
        </c:dLbls>
        <c:gapWidth val="100"/>
        <c:overlap val="-24"/>
        <c:axId val="596122768"/>
        <c:axId val="317412256"/>
      </c:barChart>
      <c:catAx>
        <c:axId val="596122768"/>
        <c:scaling>
          <c:orientation val="minMax"/>
        </c:scaling>
        <c:delete val="0"/>
        <c:axPos val="b"/>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low"/>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317412256"/>
        <c:crosses val="autoZero"/>
        <c:auto val="0"/>
        <c:lblAlgn val="ctr"/>
        <c:lblOffset val="100"/>
        <c:noMultiLvlLbl val="0"/>
      </c:catAx>
      <c:valAx>
        <c:axId val="317412256"/>
        <c:scaling>
          <c:orientation val="minMax"/>
        </c:scaling>
        <c:delete val="1"/>
        <c:axPos val="l"/>
        <c:numFmt formatCode="#,##0.0_ ;[Red]\-#,##0.0\ " sourceLinked="1"/>
        <c:majorTickMark val="none"/>
        <c:minorTickMark val="none"/>
        <c:tickLblPos val="nextTo"/>
        <c:crossAx val="596122768"/>
        <c:crosses val="autoZero"/>
        <c:crossBetween val="between"/>
      </c:valAx>
      <c:spPr>
        <a:gradFill>
          <a:gsLst>
            <a:gs pos="0">
              <a:schemeClr val="accent1">
                <a:lumMod val="5000"/>
                <a:lumOff val="95000"/>
              </a:schemeClr>
            </a:gs>
            <a:gs pos="56000">
              <a:schemeClr val="bg1">
                <a:lumMod val="95000"/>
              </a:schemeClr>
            </a:gs>
            <a:gs pos="100000">
              <a:schemeClr val="bg1"/>
            </a:gs>
          </a:gsLst>
          <a:lin ang="5400000" scaled="1"/>
        </a:grad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en-US" sz="1200" b="1" i="0" baseline="0">
                <a:solidFill>
                  <a:sysClr val="windowText" lastClr="000000"/>
                </a:solidFill>
                <a:effectLst/>
              </a:rPr>
              <a:t>Inversión bruta en activos no financieros</a:t>
            </a:r>
            <a:endParaRPr lang="es-GT" sz="1200">
              <a:solidFill>
                <a:sysClr val="windowText" lastClr="000000"/>
              </a:solidFill>
              <a:effectLst/>
            </a:endParaRPr>
          </a:p>
          <a:p>
            <a:pPr>
              <a:defRPr/>
            </a:pPr>
            <a:r>
              <a:rPr lang="en-US" sz="1100" b="1" i="0" baseline="0">
                <a:solidFill>
                  <a:sysClr val="windowText" lastClr="000000"/>
                </a:solidFill>
                <a:effectLst/>
              </a:rPr>
              <a:t>Cifra acumulada al 31 de marzo de cada año</a:t>
            </a:r>
            <a:endParaRPr lang="es-GT" sz="1100">
              <a:solidFill>
                <a:sysClr val="windowText" lastClr="000000"/>
              </a:solidFill>
              <a:effectLst/>
            </a:endParaRPr>
          </a:p>
          <a:p>
            <a:pPr>
              <a:defRPr/>
            </a:pPr>
            <a:r>
              <a:rPr lang="en-US" sz="1000" b="0" i="0" baseline="0">
                <a:solidFill>
                  <a:sysClr val="windowText" lastClr="000000"/>
                </a:solidFill>
                <a:effectLst/>
              </a:rPr>
              <a:t>En millones de Quetzales</a:t>
            </a:r>
            <a:endParaRPr lang="es-GT" sz="1000">
              <a:solidFill>
                <a:sysClr val="windowText" lastClr="000000"/>
              </a:solidFill>
              <a:effectLst/>
            </a:endParaRPr>
          </a:p>
        </c:rich>
      </c:tx>
      <c:layout>
        <c:manualLayout>
          <c:xMode val="edge"/>
          <c:yMode val="edge"/>
          <c:x val="0.24667278760405448"/>
          <c:y val="0"/>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
          <c:y val="0.2280658141857361"/>
          <c:w val="1"/>
          <c:h val="0.56338883382151483"/>
        </c:manualLayout>
      </c:layout>
      <c:barChart>
        <c:barDir val="col"/>
        <c:grouping val="clustered"/>
        <c:varyColors val="0"/>
        <c:ser>
          <c:idx val="0"/>
          <c:order val="0"/>
          <c:tx>
            <c:strRef>
              <c:f>Hoja1!$A$2</c:f>
              <c:strCache>
                <c:ptCount val="1"/>
                <c:pt idx="0">
                  <c:v>Inversión neta/bruta en activos no financieros </c:v>
                </c:pt>
              </c:strCache>
            </c:strRef>
          </c:tx>
          <c:spPr>
            <a:solidFill>
              <a:schemeClr val="accent3">
                <a:lumMod val="60000"/>
                <a:lumOff val="40000"/>
              </a:schemeClr>
            </a:solidFill>
            <a:ln>
              <a:solidFill>
                <a:sysClr val="windowText" lastClr="000000"/>
              </a:solidFill>
            </a:ln>
            <a:effectLst>
              <a:outerShdw blurRad="50800" dist="38100" dir="18900000" algn="b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Hoja1!$B$1:$F$1</c:f>
              <c:strCache>
                <c:ptCount val="5"/>
                <c:pt idx="0">
                  <c:v>2023*</c:v>
                </c:pt>
                <c:pt idx="1">
                  <c:v>2022</c:v>
                </c:pt>
                <c:pt idx="2">
                  <c:v>2021</c:v>
                </c:pt>
                <c:pt idx="3">
                  <c:v>2020</c:v>
                </c:pt>
                <c:pt idx="4">
                  <c:v>2019</c:v>
                </c:pt>
              </c:strCache>
            </c:strRef>
          </c:cat>
          <c:val>
            <c:numRef>
              <c:f>Hoja1!$B$2:$F$2</c:f>
              <c:numCache>
                <c:formatCode>#,##0.0_ ;[Red]\-#,##0.0\ </c:formatCode>
                <c:ptCount val="5"/>
                <c:pt idx="0">
                  <c:v>1222.7573835200001</c:v>
                </c:pt>
                <c:pt idx="1">
                  <c:v>806.88705268000001</c:v>
                </c:pt>
                <c:pt idx="2">
                  <c:v>485.68249923999997</c:v>
                </c:pt>
                <c:pt idx="3">
                  <c:v>204.11935751999999</c:v>
                </c:pt>
                <c:pt idx="4">
                  <c:v>626.78373311999997</c:v>
                </c:pt>
              </c:numCache>
            </c:numRef>
          </c:val>
          <c:extLst>
            <c:ext xmlns:c16="http://schemas.microsoft.com/office/drawing/2014/chart" uri="{C3380CC4-5D6E-409C-BE32-E72D297353CC}">
              <c16:uniqueId val="{00000000-B1F7-4409-B6F7-70C99837FA20}"/>
            </c:ext>
          </c:extLst>
        </c:ser>
        <c:dLbls>
          <c:showLegendKey val="0"/>
          <c:showVal val="0"/>
          <c:showCatName val="0"/>
          <c:showSerName val="0"/>
          <c:showPercent val="0"/>
          <c:showBubbleSize val="0"/>
        </c:dLbls>
        <c:gapWidth val="267"/>
        <c:overlap val="-43"/>
        <c:axId val="1557017296"/>
        <c:axId val="470887616"/>
      </c:barChart>
      <c:catAx>
        <c:axId val="1557017296"/>
        <c:scaling>
          <c:orientation val="maxMin"/>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es-GT"/>
          </a:p>
        </c:txPr>
        <c:crossAx val="470887616"/>
        <c:crosses val="autoZero"/>
        <c:auto val="1"/>
        <c:lblAlgn val="ctr"/>
        <c:lblOffset val="100"/>
        <c:noMultiLvlLbl val="0"/>
      </c:catAx>
      <c:valAx>
        <c:axId val="470887616"/>
        <c:scaling>
          <c:orientation val="minMax"/>
        </c:scaling>
        <c:delete val="1"/>
        <c:axPos val="r"/>
        <c:majorGridlines>
          <c:spPr>
            <a:ln w="9525" cap="flat" cmpd="sng" algn="ctr">
              <a:solidFill>
                <a:schemeClr val="dk1">
                  <a:lumMod val="15000"/>
                  <a:lumOff val="85000"/>
                </a:schemeClr>
              </a:solidFill>
              <a:round/>
            </a:ln>
            <a:effectLst/>
          </c:spPr>
        </c:majorGridlines>
        <c:numFmt formatCode="#,##0.0_ ;[Red]\-#,##0.0\ " sourceLinked="1"/>
        <c:majorTickMark val="none"/>
        <c:minorTickMark val="none"/>
        <c:tickLblPos val="nextTo"/>
        <c:crossAx val="155701729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r>
              <a:rPr lang="es-GT"/>
              <a:t>Flujo</a:t>
            </a:r>
            <a:r>
              <a:rPr lang="es-GT" baseline="0"/>
              <a:t> mensual  </a:t>
            </a:r>
          </a:p>
        </c:rich>
      </c:tx>
      <c:layout>
        <c:manualLayout>
          <c:xMode val="edge"/>
          <c:yMode val="edge"/>
          <c:x val="0.381879044856059"/>
          <c:y val="3.6825518900942419E-3"/>
        </c:manualLayout>
      </c:layout>
      <c:overlay val="0"/>
      <c:spPr>
        <a:noFill/>
        <a:ln>
          <a:noFill/>
        </a:ln>
        <a:effectLst/>
      </c:spPr>
      <c:txPr>
        <a:bodyPr rot="0" spcFirstLastPara="1" vertOverflow="ellipsis" vert="horz" wrap="square" anchor="ctr" anchorCtr="1"/>
        <a:lstStyle/>
        <a:p>
          <a:pPr algn="ctr">
            <a:defRPr sz="9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
          <c:y val="0.11162374305930002"/>
          <c:w val="0.84898143257751058"/>
          <c:h val="0.6518680817071778"/>
        </c:manualLayout>
      </c:layout>
      <c:barChart>
        <c:barDir val="col"/>
        <c:grouping val="clustered"/>
        <c:varyColors val="0"/>
        <c:ser>
          <c:idx val="0"/>
          <c:order val="0"/>
          <c:tx>
            <c:strRef>
              <c:f>Hoja1!$A$2</c:f>
              <c:strCache>
                <c:ptCount val="1"/>
                <c:pt idx="0">
                  <c:v>Adquicición neta de activos financieros</c:v>
                </c:pt>
              </c:strCache>
            </c:strRef>
          </c:tx>
          <c:spPr>
            <a:solidFill>
              <a:srgbClr val="9BBB59"/>
            </a:solidFill>
            <a:ln>
              <a:solidFill>
                <a:schemeClr val="tx1"/>
              </a:solidFill>
            </a:ln>
            <a:effectLst>
              <a:outerShdw blurRad="50800" dist="38100" dir="18900000" algn="bl" rotWithShape="0">
                <a:prstClr val="black">
                  <a:alpha val="40000"/>
                </a:prstClr>
              </a:outerShdw>
            </a:effectLst>
          </c:spPr>
          <c:invertIfNegative val="1"/>
          <c:dPt>
            <c:idx val="3"/>
            <c:invertIfNegative val="1"/>
            <c:bubble3D val="0"/>
            <c:extLst>
              <c:ext xmlns:c16="http://schemas.microsoft.com/office/drawing/2014/chart" uri="{C3380CC4-5D6E-409C-BE32-E72D297353CC}">
                <c16:uniqueId val="{00000000-0DB0-4C32-8D4C-164597FE9E8F}"/>
              </c:ext>
            </c:extLst>
          </c:dPt>
          <c:dPt>
            <c:idx val="6"/>
            <c:invertIfNegative val="1"/>
            <c:bubble3D val="0"/>
            <c:extLst>
              <c:ext xmlns:c16="http://schemas.microsoft.com/office/drawing/2014/chart" uri="{C3380CC4-5D6E-409C-BE32-E72D297353CC}">
                <c16:uniqueId val="{00000001-0DB0-4C32-8D4C-164597FE9E8F}"/>
              </c:ext>
            </c:extLst>
          </c:dPt>
          <c:dPt>
            <c:idx val="9"/>
            <c:invertIfNegative val="1"/>
            <c:bubble3D val="0"/>
            <c:extLst>
              <c:ext xmlns:c16="http://schemas.microsoft.com/office/drawing/2014/chart" uri="{C3380CC4-5D6E-409C-BE32-E72D297353CC}">
                <c16:uniqueId val="{00000002-0DB0-4C32-8D4C-164597FE9E8F}"/>
              </c:ext>
            </c:extLst>
          </c:dPt>
          <c:dPt>
            <c:idx val="12"/>
            <c:invertIfNegative val="0"/>
            <c:bubble3D val="0"/>
            <c:spPr>
              <a:solidFill>
                <a:schemeClr val="tx2">
                  <a:lumMod val="75000"/>
                </a:schemeClr>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4-0DB0-4C32-8D4C-164597FE9E8F}"/>
              </c:ext>
            </c:extLst>
          </c:dPt>
          <c:dLbls>
            <c:dLbl>
              <c:idx val="0"/>
              <c:layout>
                <c:manualLayout>
                  <c:x val="0"/>
                  <c:y val="1.5261350629530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DB0-4C32-8D4C-164597FE9E8F}"/>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DB0-4C32-8D4C-164597FE9E8F}"/>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DB0-4C32-8D4C-164597FE9E8F}"/>
                </c:ext>
              </c:extLst>
            </c:dLbl>
            <c:dLbl>
              <c:idx val="3"/>
              <c:layout>
                <c:manualLayout>
                  <c:x val="0"/>
                  <c:y val="-2.79356742717667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B0-4C32-8D4C-164597FE9E8F}"/>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DB0-4C32-8D4C-164597FE9E8F}"/>
                </c:ext>
              </c:extLst>
            </c:dLbl>
            <c:dLbl>
              <c:idx val="5"/>
              <c:layout>
                <c:manualLayout>
                  <c:x val="0"/>
                  <c:y val="2.50626669575356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DB0-4C32-8D4C-164597FE9E8F}"/>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B0-4C32-8D4C-164597FE9E8F}"/>
                </c:ext>
              </c:extLst>
            </c:dLbl>
            <c:dLbl>
              <c:idx val="7"/>
              <c:layout>
                <c:manualLayout>
                  <c:x val="0"/>
                  <c:y val="-7.6867351852842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DB0-4C32-8D4C-164597FE9E8F}"/>
                </c:ext>
              </c:extLst>
            </c:dLbl>
            <c:dLbl>
              <c:idx val="8"/>
              <c:layout>
                <c:manualLayout>
                  <c:x val="4.4633196360658999E-3"/>
                  <c:y val="8.79189630830908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DB0-4C32-8D4C-164597FE9E8F}"/>
                </c:ext>
              </c:extLst>
            </c:dLbl>
            <c:dLbl>
              <c:idx val="9"/>
              <c:layout>
                <c:manualLayout>
                  <c:x val="0"/>
                  <c:y val="1.418136686402571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B0-4C32-8D4C-164597FE9E8F}"/>
                </c:ext>
              </c:extLst>
            </c:dLbl>
            <c:dLbl>
              <c:idx val="10"/>
              <c:layout>
                <c:manualLayout>
                  <c:x val="0"/>
                  <c:y val="1.526135062953071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DB0-4C32-8D4C-164597FE9E8F}"/>
                </c:ext>
              </c:extLst>
            </c:dLbl>
            <c:dLbl>
              <c:idx val="11"/>
              <c:layout>
                <c:manualLayout>
                  <c:x val="-3.8439361906592348E-2"/>
                  <c:y val="1.1922928238621335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DB0-4C32-8D4C-164597FE9E8F}"/>
                </c:ext>
              </c:extLst>
            </c:dLbl>
            <c:dLbl>
              <c:idx val="12"/>
              <c:layout>
                <c:manualLayout>
                  <c:x val="1.9219680953296174E-2"/>
                  <c:y val="5.1712140633584543E-3"/>
                </c:manualLayout>
              </c:layout>
              <c:numFmt formatCode="#,##0.0_ ;[Red]\-#,##0.0\ " sourceLinked="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B0-4C32-8D4C-164597FE9E8F}"/>
                </c:ext>
              </c:extLst>
            </c:dLbl>
            <c:numFmt formatCode="#,##0.0_ ;[Red]\-#,##0.0\ " sourceLinked="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Hoja1!$B$1:$E$1</c:f>
              <c:strCache>
                <c:ptCount val="4"/>
                <c:pt idx="0">
                  <c:v>Enero</c:v>
                </c:pt>
                <c:pt idx="1">
                  <c:v>Febrero</c:v>
                </c:pt>
                <c:pt idx="2">
                  <c:v>Marzo</c:v>
                </c:pt>
                <c:pt idx="3">
                  <c:v>Total</c:v>
                </c:pt>
              </c:strCache>
            </c:strRef>
          </c:cat>
          <c:val>
            <c:numRef>
              <c:f>Hoja1!$B$2:$E$2</c:f>
              <c:numCache>
                <c:formatCode>#,##0.00</c:formatCode>
                <c:ptCount val="4"/>
                <c:pt idx="0">
                  <c:v>1058.9000000000001</c:v>
                </c:pt>
                <c:pt idx="1">
                  <c:v>-2829.3</c:v>
                </c:pt>
                <c:pt idx="2">
                  <c:v>-1690.4</c:v>
                </c:pt>
                <c:pt idx="3">
                  <c:v>-3460.8</c:v>
                </c:pt>
              </c:numCache>
            </c:numRef>
          </c:val>
          <c:extLst>
            <c:ext xmlns:c14="http://schemas.microsoft.com/office/drawing/2007/8/2/chart" uri="{6F2FDCE9-48DA-4B69-8628-5D25D57E5C99}">
              <c14:invertSolidFillFmt>
                <c14:spPr xmlns:c14="http://schemas.microsoft.com/office/drawing/2007/8/2/chart">
                  <a:solidFill>
                    <a:srgbClr val="C00000"/>
                  </a:solidFill>
                  <a:ln>
                    <a:solidFill>
                      <a:schemeClr val="tx1"/>
                    </a:solidFill>
                  </a:ln>
                  <a:effectLst>
                    <a:outerShdw blurRad="50800" dist="38100" dir="18900000" algn="bl" rotWithShape="0">
                      <a:prstClr val="black">
                        <a:alpha val="40000"/>
                      </a:prstClr>
                    </a:outerShdw>
                  </a:effectLst>
                </c14:spPr>
              </c14:invertSolidFillFmt>
            </c:ext>
            <c:ext xmlns:c16="http://schemas.microsoft.com/office/drawing/2014/chart" uri="{C3380CC4-5D6E-409C-BE32-E72D297353CC}">
              <c16:uniqueId val="{0000000E-0DB0-4C32-8D4C-164597FE9E8F}"/>
            </c:ext>
          </c:extLst>
        </c:ser>
        <c:dLbls>
          <c:dLblPos val="inEnd"/>
          <c:showLegendKey val="0"/>
          <c:showVal val="1"/>
          <c:showCatName val="0"/>
          <c:showSerName val="0"/>
          <c:showPercent val="0"/>
          <c:showBubbleSize val="0"/>
        </c:dLbls>
        <c:gapWidth val="83"/>
        <c:overlap val="7"/>
        <c:axId val="152970912"/>
        <c:axId val="152969984"/>
      </c:barChart>
      <c:catAx>
        <c:axId val="152970912"/>
        <c:scaling>
          <c:orientation val="minMax"/>
        </c:scaling>
        <c:delete val="0"/>
        <c:axPos val="b"/>
        <c:majorGridlines>
          <c:spPr>
            <a:ln w="9525" cap="flat" cmpd="sng" algn="ctr">
              <a:solidFill>
                <a:schemeClr val="dk1">
                  <a:lumMod val="15000"/>
                  <a:lumOff val="85000"/>
                </a:schemeClr>
              </a:solidFill>
              <a:round/>
            </a:ln>
            <a:effectLst/>
          </c:spPr>
        </c:majorGridlines>
        <c:minorGridlines>
          <c:spPr>
            <a:ln w="9525" cap="flat" cmpd="sng" algn="ctr">
              <a:solidFill>
                <a:schemeClr val="dk1">
                  <a:lumMod val="5000"/>
                  <a:lumOff val="95000"/>
                </a:schemeClr>
              </a:solidFill>
              <a:round/>
            </a:ln>
            <a:effectLst/>
          </c:spPr>
        </c:minorGridlines>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900" b="1"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es-GT"/>
          </a:p>
        </c:txPr>
        <c:crossAx val="152969984"/>
        <c:crosses val="autoZero"/>
        <c:auto val="1"/>
        <c:lblAlgn val="ctr"/>
        <c:lblOffset val="100"/>
        <c:noMultiLvlLbl val="0"/>
      </c:catAx>
      <c:valAx>
        <c:axId val="152969984"/>
        <c:scaling>
          <c:orientation val="minMax"/>
          <c:min val="-3900"/>
        </c:scaling>
        <c:delete val="0"/>
        <c:axPos val="l"/>
        <c:numFmt formatCode="#,##0_ ;[Red]\-#,##0\ " sourceLinked="0"/>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52970912"/>
        <c:crosses val="autoZero"/>
        <c:crossBetween val="between"/>
      </c:valAx>
      <c:spPr>
        <a:pattFill prst="ltDnDiag">
          <a:fgClr>
            <a:srgbClr val="000000">
              <a:alpha val="0"/>
            </a:srgbClr>
          </a:fgClr>
          <a:bgClr>
            <a:srgbClr val="FFFFFF"/>
          </a:bgClr>
        </a:pattFill>
        <a:ln w="25400">
          <a:noFill/>
        </a:ln>
        <a:effectLst/>
      </c:spPr>
    </c:plotArea>
    <c:plotVisOnly val="1"/>
    <c:dispBlanksAs val="gap"/>
    <c:showDLblsOverMax val="0"/>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r>
              <a:rPr lang="es-GT" sz="1000"/>
              <a:t>Por</a:t>
            </a:r>
            <a:r>
              <a:rPr lang="es-GT" sz="1000" baseline="0"/>
              <a:t> tipo de instrumento</a:t>
            </a:r>
          </a:p>
          <a:p>
            <a:pPr>
              <a:defRPr b="1">
                <a:solidFill>
                  <a:schemeClr val="tx1"/>
                </a:solidFill>
              </a:defRPr>
            </a:pPr>
            <a:r>
              <a:rPr lang="es-GT" sz="1000" baseline="0"/>
              <a:t>Cifra acumulada</a:t>
            </a:r>
            <a:endParaRPr lang="es-GT" sz="1000"/>
          </a:p>
        </c:rich>
      </c:tx>
      <c:layout>
        <c:manualLayout>
          <c:xMode val="edge"/>
          <c:yMode val="edge"/>
          <c:x val="0.22472140909108393"/>
          <c:y val="0"/>
        </c:manualLayout>
      </c:layout>
      <c:overlay val="0"/>
      <c:spPr>
        <a:noFill/>
        <a:ln>
          <a:noFill/>
        </a:ln>
        <a:effectLst/>
      </c:spPr>
      <c:txPr>
        <a:bodyPr rot="0" spcFirstLastPara="1" vertOverflow="ellipsis" vert="horz" wrap="square" anchor="ctr" anchorCtr="1"/>
        <a:lstStyle/>
        <a:p>
          <a:pPr>
            <a:defRPr sz="20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3.9653035935563817E-2"/>
          <c:y val="0.29054059942111982"/>
          <c:w val="0.62471055430338851"/>
          <c:h val="0.66421794113680444"/>
        </c:manualLayout>
      </c:layout>
      <c:pieChart>
        <c:varyColors val="1"/>
        <c:ser>
          <c:idx val="0"/>
          <c:order val="0"/>
          <c:tx>
            <c:strRef>
              <c:f>Hoja1!$B$1</c:f>
              <c:strCache>
                <c:ptCount val="1"/>
                <c:pt idx="0">
                  <c:v>Diciembre</c:v>
                </c:pt>
              </c:strCache>
            </c:strRef>
          </c:tx>
          <c:spPr>
            <a:ln>
              <a:solidFill>
                <a:schemeClr val="tx1"/>
              </a:solidFill>
            </a:ln>
            <a:effectLst>
              <a:outerShdw blurRad="50800" dist="38100" dir="18900000" algn="bl" rotWithShape="0">
                <a:prstClr val="black">
                  <a:alpha val="40000"/>
                </a:prstClr>
              </a:outerShdw>
            </a:effectLst>
          </c:spPr>
          <c:explosion val="2"/>
          <c:dPt>
            <c:idx val="0"/>
            <c:bubble3D val="0"/>
            <c:explosion val="0"/>
            <c:spPr>
              <a:solidFill>
                <a:schemeClr val="accent1"/>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1-B246-4F1E-88EE-A5A17A6CCD93}"/>
              </c:ext>
            </c:extLst>
          </c:dPt>
          <c:dPt>
            <c:idx val="1"/>
            <c:bubble3D val="0"/>
            <c:spPr>
              <a:solidFill>
                <a:schemeClr val="accent2"/>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3-B246-4F1E-88EE-A5A17A6CCD93}"/>
              </c:ext>
            </c:extLst>
          </c:dPt>
          <c:dPt>
            <c:idx val="2"/>
            <c:bubble3D val="0"/>
            <c:explosion val="0"/>
            <c:spPr>
              <a:solidFill>
                <a:schemeClr val="accent3"/>
              </a:solidFill>
              <a:ln>
                <a:solidFill>
                  <a:schemeClr val="tx1"/>
                </a:solidFill>
              </a:ln>
              <a:effectLst>
                <a:outerShdw blurRad="50800" dist="38100" dir="18900000" algn="bl" rotWithShape="0">
                  <a:prstClr val="black">
                    <a:alpha val="40000"/>
                  </a:prstClr>
                </a:outerShdw>
              </a:effectLst>
            </c:spPr>
            <c:extLst>
              <c:ext xmlns:c16="http://schemas.microsoft.com/office/drawing/2014/chart" uri="{C3380CC4-5D6E-409C-BE32-E72D297353CC}">
                <c16:uniqueId val="{00000005-B246-4F1E-88EE-A5A17A6CCD93}"/>
              </c:ext>
            </c:extLst>
          </c:dPt>
          <c:dLbls>
            <c:dLbl>
              <c:idx val="0"/>
              <c:layout>
                <c:manualLayout>
                  <c:x val="0.37447589497409484"/>
                  <c:y val="-0.29952408157182248"/>
                </c:manualLayout>
              </c:layout>
              <c:tx>
                <c:rich>
                  <a:bodyPr/>
                  <a:lstStyle/>
                  <a:p>
                    <a:fld id="{DC3ECB95-8660-484B-8DBA-8FFFA2B3DF23}" type="CATEGORYNAME">
                      <a:rPr lang="en-US"/>
                      <a:pPr/>
                      <a:t>[NOMBRE DE CATEGORÍA]</a:t>
                    </a:fld>
                    <a:r>
                      <a:rPr lang="en-US" baseline="0"/>
                      <a:t>
</a:t>
                    </a:r>
                    <a:fld id="{2475ACC2-5FE9-40EC-AD17-6949D8164250}" type="VALUE">
                      <a:rPr lang="en-US" baseline="0"/>
                      <a:pPr/>
                      <a:t>[VALOR]</a:t>
                    </a:fld>
                    <a:r>
                      <a:rPr lang="en-US" baseline="0"/>
                      <a:t>
</a:t>
                    </a:r>
                    <a:fld id="{F0E8D96C-0634-4E13-879C-2B88D45A5256}" type="CELLREF">
                      <a:rPr lang="en-US" baseline="0"/>
                      <a:pPr/>
                      <a:t>[CELLREF]</a:t>
                    </a:fld>
                    <a:endParaRPr lang="en-US" baseline="0"/>
                  </a:p>
                </c:rich>
              </c:tx>
              <c:dLblPos val="bestFit"/>
              <c:showLegendKey val="1"/>
              <c:showVal val="1"/>
              <c:showCatName val="1"/>
              <c:showSerName val="0"/>
              <c:showPercent val="1"/>
              <c:showBubbleSize val="0"/>
              <c:separator>
</c:separator>
              <c:extLst>
                <c:ext xmlns:c15="http://schemas.microsoft.com/office/drawing/2012/chart" uri="{CE6537A1-D6FC-4f65-9D91-7224C49458BB}">
                  <c15:layout>
                    <c:manualLayout>
                      <c:w val="0.54876094019846033"/>
                      <c:h val="0.20605479520107306"/>
                    </c:manualLayout>
                  </c15:layout>
                  <c15:dlblFieldTable>
                    <c15:dlblFTEntry>
                      <c15:txfldGUID>{F0E8D96C-0634-4E13-879C-2B88D45A5256}</c15:txfldGUID>
                      <c15:f>Hoja1!$C$2</c15:f>
                      <c15:dlblFieldTableCache>
                        <c:ptCount val="1"/>
                        <c:pt idx="0">
                          <c:v>99.7%</c:v>
                        </c:pt>
                      </c15:dlblFieldTableCache>
                    </c15:dlblFTEntry>
                  </c15:dlblFieldTable>
                  <c15:showDataLabelsRange val="0"/>
                </c:ext>
                <c:ext xmlns:c16="http://schemas.microsoft.com/office/drawing/2014/chart" uri="{C3380CC4-5D6E-409C-BE32-E72D297353CC}">
                  <c16:uniqueId val="{00000001-B246-4F1E-88EE-A5A17A6CCD93}"/>
                </c:ext>
              </c:extLst>
            </c:dLbl>
            <c:dLbl>
              <c:idx val="1"/>
              <c:layout>
                <c:manualLayout>
                  <c:x val="-6.560430875508598E-2"/>
                  <c:y val="1.5524478998484811E-3"/>
                </c:manualLayout>
              </c:layout>
              <c:tx>
                <c:rich>
                  <a:bodyPr/>
                  <a:lstStyle/>
                  <a:p>
                    <a:fld id="{C0631E71-BA3D-4443-A281-2C9FC532B5CD}" type="CATEGORYNAME">
                      <a:rPr lang="en-US"/>
                      <a:pPr/>
                      <a:t>[NOMBRE DE CATEGORÍA]</a:t>
                    </a:fld>
                    <a:r>
                      <a:rPr lang="en-US" baseline="0"/>
                      <a:t>
</a:t>
                    </a:r>
                    <a:fld id="{9B110C3B-ED12-465D-8831-4E9513E95931}" type="VALUE">
                      <a:rPr lang="en-US" baseline="0"/>
                      <a:pPr/>
                      <a:t>[VALOR]</a:t>
                    </a:fld>
                    <a:r>
                      <a:rPr lang="en-US" baseline="0"/>
                      <a:t>
</a:t>
                    </a:r>
                    <a:fld id="{5AE4D37B-34A8-4459-8CE2-DA6FA99CAD6A}" type="CELLREF">
                      <a:rPr lang="en-US" baseline="0"/>
                      <a:pPr/>
                      <a:t>[CELLREF]</a:t>
                    </a:fld>
                    <a:endParaRPr lang="en-US" baseline="0"/>
                  </a:p>
                </c:rich>
              </c:tx>
              <c:dLblPos val="bestFit"/>
              <c:showLegendKey val="1"/>
              <c:showVal val="1"/>
              <c:showCatName val="1"/>
              <c:showSerName val="0"/>
              <c:showPercent val="1"/>
              <c:showBubbleSize val="0"/>
              <c:separator>
</c:separator>
              <c:extLst>
                <c:ext xmlns:c15="http://schemas.microsoft.com/office/drawing/2012/chart" uri="{CE6537A1-D6FC-4f65-9D91-7224C49458BB}">
                  <c15:layout>
                    <c:manualLayout>
                      <c:w val="0.23509488823190783"/>
                      <c:h val="0.22573933778782385"/>
                    </c:manualLayout>
                  </c15:layout>
                  <c15:dlblFieldTable>
                    <c15:dlblFTEntry>
                      <c15:txfldGUID>{5AE4D37B-34A8-4459-8CE2-DA6FA99CAD6A}</c15:txfldGUID>
                      <c15:f>Hoja1!$C$3</c15:f>
                      <c15:dlblFieldTableCache>
                        <c:ptCount val="1"/>
                        <c:pt idx="0">
                          <c:v>0.3%</c:v>
                        </c:pt>
                      </c15:dlblFieldTableCache>
                    </c15:dlblFTEntry>
                  </c15:dlblFieldTable>
                  <c15:showDataLabelsRange val="0"/>
                </c:ext>
                <c:ext xmlns:c16="http://schemas.microsoft.com/office/drawing/2014/chart" uri="{C3380CC4-5D6E-409C-BE32-E72D297353CC}">
                  <c16:uniqueId val="{00000003-B246-4F1E-88EE-A5A17A6CCD93}"/>
                </c:ext>
              </c:extLst>
            </c:dLbl>
            <c:dLbl>
              <c:idx val="2"/>
              <c:layout>
                <c:manualLayout>
                  <c:x val="-2.9101659690308229E-2"/>
                  <c:y val="2.6110755590180203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manualLayout>
                      <c:w val="0.40491643005590838"/>
                      <c:h val="0.25384713836565476"/>
                    </c:manualLayout>
                  </c15:layout>
                </c:ext>
                <c:ext xmlns:c16="http://schemas.microsoft.com/office/drawing/2014/chart" uri="{C3380CC4-5D6E-409C-BE32-E72D297353CC}">
                  <c16:uniqueId val="{00000005-B246-4F1E-88EE-A5A17A6CCD93}"/>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GT"/>
              </a:p>
            </c:txPr>
            <c:dLblPos val="bestFit"/>
            <c:showLegendKey val="1"/>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Hoja1!$A$2:$A$4</c:f>
              <c:strCache>
                <c:ptCount val="3"/>
                <c:pt idx="0">
                  <c:v>Billetes, monedas y depósitos</c:v>
                </c:pt>
                <c:pt idx="1">
                  <c:v>Préstamos</c:v>
                </c:pt>
                <c:pt idx="2">
                  <c:v>Participaciones de capital y en fondos de inversión</c:v>
                </c:pt>
              </c:strCache>
            </c:strRef>
          </c:cat>
          <c:val>
            <c:numRef>
              <c:f>Hoja1!$B$2:$B$4</c:f>
              <c:numCache>
                <c:formatCode>"Q"#,##0.0</c:formatCode>
                <c:ptCount val="3"/>
                <c:pt idx="0">
                  <c:v>-3449.8</c:v>
                </c:pt>
                <c:pt idx="1">
                  <c:v>-11.045397150000001</c:v>
                </c:pt>
              </c:numCache>
            </c:numRef>
          </c:val>
          <c:extLst>
            <c:ext xmlns:c16="http://schemas.microsoft.com/office/drawing/2014/chart" uri="{C3380CC4-5D6E-409C-BE32-E72D297353CC}">
              <c16:uniqueId val="{00000006-B246-4F1E-88EE-A5A17A6CCD93}"/>
            </c:ext>
          </c:extLst>
        </c:ser>
        <c:ser>
          <c:idx val="1"/>
          <c:order val="1"/>
          <c:tx>
            <c:strRef>
              <c:f>Hoja1!$C$1</c:f>
              <c:strCache>
                <c:ptCount val="1"/>
                <c:pt idx="0">
                  <c:v>Columna1</c:v>
                </c:pt>
              </c:strCache>
            </c:strRef>
          </c:tx>
          <c:dPt>
            <c:idx val="0"/>
            <c:bubble3D val="0"/>
            <c:spPr>
              <a:solidFill>
                <a:schemeClr val="accent1"/>
              </a:solidFill>
              <a:ln>
                <a:noFill/>
              </a:ln>
              <a:effectLst/>
            </c:spPr>
            <c:extLst>
              <c:ext xmlns:c16="http://schemas.microsoft.com/office/drawing/2014/chart" uri="{C3380CC4-5D6E-409C-BE32-E72D297353CC}">
                <c16:uniqueId val="{00000008-B246-4F1E-88EE-A5A17A6CCD93}"/>
              </c:ext>
            </c:extLst>
          </c:dPt>
          <c:dPt>
            <c:idx val="1"/>
            <c:bubble3D val="0"/>
            <c:spPr>
              <a:solidFill>
                <a:schemeClr val="accent2"/>
              </a:solidFill>
              <a:ln>
                <a:noFill/>
              </a:ln>
              <a:effectLst/>
            </c:spPr>
            <c:extLst>
              <c:ext xmlns:c16="http://schemas.microsoft.com/office/drawing/2014/chart" uri="{C3380CC4-5D6E-409C-BE32-E72D297353CC}">
                <c16:uniqueId val="{0000000A-B246-4F1E-88EE-A5A17A6CCD93}"/>
              </c:ext>
            </c:extLst>
          </c:dPt>
          <c:dPt>
            <c:idx val="2"/>
            <c:bubble3D val="0"/>
            <c:spPr>
              <a:solidFill>
                <a:schemeClr val="accent3"/>
              </a:solidFill>
              <a:ln>
                <a:noFill/>
              </a:ln>
              <a:effectLst/>
            </c:spPr>
            <c:extLst>
              <c:ext xmlns:c16="http://schemas.microsoft.com/office/drawing/2014/chart" uri="{C3380CC4-5D6E-409C-BE32-E72D297353CC}">
                <c16:uniqueId val="{0000000C-B246-4F1E-88EE-A5A17A6CCD93}"/>
              </c:ext>
            </c:extLst>
          </c:dPt>
          <c:cat>
            <c:strRef>
              <c:f>Hoja1!$A$2:$A$4</c:f>
              <c:strCache>
                <c:ptCount val="3"/>
                <c:pt idx="0">
                  <c:v>Billetes, monedas y depósitos</c:v>
                </c:pt>
                <c:pt idx="1">
                  <c:v>Préstamos</c:v>
                </c:pt>
                <c:pt idx="2">
                  <c:v>Participaciones de capital y en fondos de inversión</c:v>
                </c:pt>
              </c:strCache>
            </c:strRef>
          </c:cat>
          <c:val>
            <c:numRef>
              <c:f>Hoja1!$C$2:$C$4</c:f>
              <c:numCache>
                <c:formatCode>0.0%</c:formatCode>
                <c:ptCount val="3"/>
                <c:pt idx="0">
                  <c:v>0.99680846848602489</c:v>
                </c:pt>
                <c:pt idx="1">
                  <c:v>3.1915315139751303E-3</c:v>
                </c:pt>
              </c:numCache>
            </c:numRef>
          </c:val>
          <c:extLst>
            <c:ext xmlns:c16="http://schemas.microsoft.com/office/drawing/2014/chart" uri="{C3380CC4-5D6E-409C-BE32-E72D297353CC}">
              <c16:uniqueId val="{0000000D-B246-4F1E-88EE-A5A17A6CCD93}"/>
            </c:ext>
          </c:extLst>
        </c:ser>
        <c:dLbls>
          <c:showLegendKey val="0"/>
          <c:showVal val="0"/>
          <c:showCatName val="0"/>
          <c:showSerName val="0"/>
          <c:showPercent val="0"/>
          <c:showBubbleSize val="0"/>
          <c:showLeaderLines val="1"/>
        </c:dLbls>
        <c:firstSliceAng val="9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9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r>
              <a:rPr lang="en-US" sz="900" b="1" i="0">
                <a:solidFill>
                  <a:schemeClr val="tx1"/>
                </a:solidFill>
              </a:rPr>
              <a:t>Flujo Mensual</a:t>
            </a:r>
          </a:p>
        </c:rich>
      </c:tx>
      <c:layout>
        <c:manualLayout>
          <c:xMode val="edge"/>
          <c:yMode val="edge"/>
          <c:x val="0.35417726104549435"/>
          <c:y val="9.8328416912487702E-3"/>
        </c:manualLayout>
      </c:layout>
      <c:overlay val="0"/>
      <c:spPr>
        <a:noFill/>
        <a:ln>
          <a:noFill/>
        </a:ln>
        <a:effectLst/>
      </c:spPr>
      <c:txPr>
        <a:bodyPr rot="0" spcFirstLastPara="1" vertOverflow="ellipsis" vert="horz" wrap="square" anchor="ctr" anchorCtr="1"/>
        <a:lstStyle/>
        <a:p>
          <a:pPr algn="l">
            <a:defRPr sz="9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
          <c:y val="9.1218054436108878E-2"/>
          <c:w val="1"/>
          <c:h val="0.51978092521716523"/>
        </c:manualLayout>
      </c:layout>
      <c:barChart>
        <c:barDir val="col"/>
        <c:grouping val="clustered"/>
        <c:varyColors val="0"/>
        <c:ser>
          <c:idx val="0"/>
          <c:order val="0"/>
          <c:tx>
            <c:strRef>
              <c:f>Hoja1!$A$2</c:f>
              <c:strCache>
                <c:ptCount val="1"/>
                <c:pt idx="0">
                  <c:v>Categoría 1</c:v>
                </c:pt>
              </c:strCache>
            </c:strRef>
          </c:tx>
          <c:spPr>
            <a:noFill/>
            <a:ln>
              <a:noFill/>
            </a:ln>
            <a:effectLst/>
          </c:spPr>
          <c:invertIfNegative val="0"/>
          <c:dPt>
            <c:idx val="3"/>
            <c:invertIfNegative val="0"/>
            <c:bubble3D val="0"/>
            <c:spPr>
              <a:solidFill>
                <a:schemeClr val="tx2"/>
              </a:solidFill>
              <a:ln w="19050">
                <a:solidFill>
                  <a:schemeClr val="tx1"/>
                </a:solidFill>
              </a:ln>
              <a:effectLst/>
            </c:spPr>
            <c:extLst>
              <c:ext xmlns:c16="http://schemas.microsoft.com/office/drawing/2014/chart" uri="{C3380CC4-5D6E-409C-BE32-E72D297353CC}">
                <c16:uniqueId val="{00000000-8EE9-417E-BC60-27B8348F8A95}"/>
              </c:ext>
            </c:extLst>
          </c:dPt>
          <c:dPt>
            <c:idx val="6"/>
            <c:invertIfNegative val="0"/>
            <c:bubble3D val="0"/>
            <c:spPr>
              <a:noFill/>
              <a:ln w="19050">
                <a:noFill/>
              </a:ln>
              <a:effectLst/>
            </c:spPr>
            <c:extLst>
              <c:ext xmlns:c16="http://schemas.microsoft.com/office/drawing/2014/chart" uri="{C3380CC4-5D6E-409C-BE32-E72D297353CC}">
                <c16:uniqueId val="{00000002-8EE9-417E-BC60-27B8348F8A95}"/>
              </c:ext>
            </c:extLst>
          </c:dPt>
          <c:dPt>
            <c:idx val="9"/>
            <c:invertIfNegative val="0"/>
            <c:bubble3D val="0"/>
            <c:spPr>
              <a:noFill/>
              <a:ln w="28575">
                <a:noFill/>
              </a:ln>
              <a:effectLst/>
            </c:spPr>
            <c:extLst>
              <c:ext xmlns:c16="http://schemas.microsoft.com/office/drawing/2014/chart" uri="{C3380CC4-5D6E-409C-BE32-E72D297353CC}">
                <c16:uniqueId val="{00000004-8EE9-417E-BC60-27B8348F8A95}"/>
              </c:ext>
            </c:extLst>
          </c:dPt>
          <c:dPt>
            <c:idx val="12"/>
            <c:invertIfNegative val="0"/>
            <c:bubble3D val="0"/>
            <c:spPr>
              <a:solidFill>
                <a:schemeClr val="tx2">
                  <a:lumMod val="75000"/>
                </a:schemeClr>
              </a:solidFill>
              <a:ln>
                <a:solidFill>
                  <a:schemeClr val="tx1"/>
                </a:solidFill>
              </a:ln>
              <a:effectLst/>
            </c:spPr>
            <c:extLst>
              <c:ext xmlns:c16="http://schemas.microsoft.com/office/drawing/2014/chart" uri="{C3380CC4-5D6E-409C-BE32-E72D297353CC}">
                <c16:uniqueId val="{00000006-8EE9-417E-BC60-27B8348F8A95}"/>
              </c:ext>
            </c:extLst>
          </c:dPt>
          <c:dLbls>
            <c:dLbl>
              <c:idx val="3"/>
              <c:layout>
                <c:manualLayout>
                  <c:x val="0"/>
                  <c:y val="2.2204906678331877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E9-417E-BC60-27B8348F8A95}"/>
                </c:ext>
              </c:extLst>
            </c:dLbl>
            <c:dLbl>
              <c:idx val="12"/>
              <c:layout>
                <c:manualLayout>
                  <c:x val="0"/>
                  <c:y val="9.27282048927557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EE9-417E-BC60-27B8348F8A95}"/>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GT"/>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Hoja1!$B$1:$E$1</c:f>
              <c:strCache>
                <c:ptCount val="4"/>
                <c:pt idx="0">
                  <c:v>Enero</c:v>
                </c:pt>
                <c:pt idx="1">
                  <c:v>Febrero</c:v>
                </c:pt>
                <c:pt idx="2">
                  <c:v>Marzo</c:v>
                </c:pt>
                <c:pt idx="3">
                  <c:v>Total</c:v>
                </c:pt>
              </c:strCache>
            </c:strRef>
          </c:cat>
          <c:val>
            <c:numRef>
              <c:f>Hoja1!$B$2:$E$2</c:f>
              <c:numCache>
                <c:formatCode>_-* #,##0.0_-;\-* #,##0.0_-;_-* "-"??_-;_-@_-</c:formatCode>
                <c:ptCount val="4"/>
                <c:pt idx="0">
                  <c:v>-215.83104895999998</c:v>
                </c:pt>
                <c:pt idx="1">
                  <c:v>-1446.2</c:v>
                </c:pt>
                <c:pt idx="2">
                  <c:v>-453.91087937999998</c:v>
                </c:pt>
                <c:pt idx="3">
                  <c:v>-2115.9419283400002</c:v>
                </c:pt>
              </c:numCache>
            </c:numRef>
          </c:val>
          <c:extLst>
            <c:ext xmlns:c16="http://schemas.microsoft.com/office/drawing/2014/chart" uri="{C3380CC4-5D6E-409C-BE32-E72D297353CC}">
              <c16:uniqueId val="{00000007-8EE9-417E-BC60-27B8348F8A95}"/>
            </c:ext>
          </c:extLst>
        </c:ser>
        <c:dLbls>
          <c:dLblPos val="inEnd"/>
          <c:showLegendKey val="0"/>
          <c:showVal val="1"/>
          <c:showCatName val="0"/>
          <c:showSerName val="0"/>
          <c:showPercent val="0"/>
          <c:showBubbleSize val="0"/>
        </c:dLbls>
        <c:gapWidth val="83"/>
        <c:overlap val="7"/>
        <c:axId val="152970912"/>
        <c:axId val="152969984"/>
      </c:barChart>
      <c:lineChart>
        <c:grouping val="standard"/>
        <c:varyColors val="0"/>
        <c:ser>
          <c:idx val="1"/>
          <c:order val="1"/>
          <c:tx>
            <c:strRef>
              <c:f>Hoja1!$A$3</c:f>
              <c:strCache>
                <c:ptCount val="1"/>
                <c:pt idx="0">
                  <c:v>Categoría 2</c:v>
                </c:pt>
              </c:strCache>
            </c:strRef>
          </c:tx>
          <c:spPr>
            <a:ln w="22225" cap="rnd">
              <a:noFill/>
              <a:round/>
            </a:ln>
            <a:effectLst>
              <a:outerShdw blurRad="50800" dist="38100" dir="18900000" algn="bl" rotWithShape="0">
                <a:prstClr val="black">
                  <a:alpha val="40000"/>
                </a:prstClr>
              </a:outerShdw>
            </a:effectLst>
          </c:spPr>
          <c:marker>
            <c:symbol val="circle"/>
            <c:size val="21"/>
            <c:spPr>
              <a:solidFill>
                <a:schemeClr val="accent3">
                  <a:lumMod val="20000"/>
                  <a:lumOff val="80000"/>
                </a:schemeClr>
              </a:solidFill>
              <a:ln w="15875">
                <a:solidFill>
                  <a:schemeClr val="accent2"/>
                </a:solidFill>
                <a:round/>
              </a:ln>
              <a:effectLst>
                <a:outerShdw blurRad="50800" dist="38100" dir="18900000" algn="bl" rotWithShape="0">
                  <a:prstClr val="black">
                    <a:alpha val="40000"/>
                  </a:prstClr>
                </a:outerShdw>
              </a:effectLst>
            </c:spPr>
          </c:marker>
          <c:dPt>
            <c:idx val="0"/>
            <c:marker>
              <c:symbol val="circle"/>
              <c:size val="21"/>
              <c:spPr>
                <a:solidFill>
                  <a:schemeClr val="accent3">
                    <a:lumMod val="20000"/>
                    <a:lumOff val="80000"/>
                  </a:schemeClr>
                </a:solidFill>
                <a:ln w="15875">
                  <a:solidFill>
                    <a:schemeClr val="accent2"/>
                  </a:solidFill>
                  <a:round/>
                </a:ln>
                <a:effectLst>
                  <a:outerShdw blurRad="50800" dist="38100" dir="18900000" algn="bl" rotWithShape="0">
                    <a:prstClr val="black">
                      <a:alpha val="40000"/>
                    </a:prstClr>
                  </a:outerShdw>
                </a:effectLst>
              </c:spPr>
            </c:marker>
            <c:bubble3D val="0"/>
            <c:extLst>
              <c:ext xmlns:c16="http://schemas.microsoft.com/office/drawing/2014/chart" uri="{C3380CC4-5D6E-409C-BE32-E72D297353CC}">
                <c16:uniqueId val="{00000008-8EE9-417E-BC60-27B8348F8A95}"/>
              </c:ext>
            </c:extLst>
          </c:dPt>
          <c:dPt>
            <c:idx val="1"/>
            <c:marker>
              <c:symbol val="circle"/>
              <c:size val="21"/>
              <c:spPr>
                <a:solidFill>
                  <a:schemeClr val="accent3">
                    <a:lumMod val="20000"/>
                    <a:lumOff val="80000"/>
                  </a:schemeClr>
                </a:solidFill>
                <a:ln w="15875">
                  <a:solidFill>
                    <a:schemeClr val="accent2"/>
                  </a:solidFill>
                  <a:round/>
                </a:ln>
                <a:effectLst>
                  <a:outerShdw blurRad="50800" dist="38100" dir="18900000" algn="bl" rotWithShape="0">
                    <a:prstClr val="black">
                      <a:alpha val="40000"/>
                    </a:prstClr>
                  </a:outerShdw>
                </a:effectLst>
              </c:spPr>
            </c:marker>
            <c:bubble3D val="0"/>
            <c:extLst>
              <c:ext xmlns:c16="http://schemas.microsoft.com/office/drawing/2014/chart" uri="{C3380CC4-5D6E-409C-BE32-E72D297353CC}">
                <c16:uniqueId val="{00000009-8EE9-417E-BC60-27B8348F8A95}"/>
              </c:ext>
            </c:extLst>
          </c:dPt>
          <c:dPt>
            <c:idx val="2"/>
            <c:marker>
              <c:symbol val="circle"/>
              <c:size val="21"/>
              <c:spPr>
                <a:solidFill>
                  <a:schemeClr val="accent3">
                    <a:lumMod val="20000"/>
                    <a:lumOff val="80000"/>
                  </a:schemeClr>
                </a:solidFill>
                <a:ln w="15875">
                  <a:solidFill>
                    <a:schemeClr val="accent2"/>
                  </a:solidFill>
                  <a:round/>
                </a:ln>
                <a:effectLst>
                  <a:outerShdw blurRad="50800" dist="38100" dir="18900000" algn="bl" rotWithShape="0">
                    <a:prstClr val="black">
                      <a:alpha val="40000"/>
                    </a:prstClr>
                  </a:outerShdw>
                </a:effectLst>
              </c:spPr>
            </c:marker>
            <c:bubble3D val="0"/>
            <c:extLst>
              <c:ext xmlns:c16="http://schemas.microsoft.com/office/drawing/2014/chart" uri="{C3380CC4-5D6E-409C-BE32-E72D297353CC}">
                <c16:uniqueId val="{0000000A-8EE9-417E-BC60-27B8348F8A95}"/>
              </c:ext>
            </c:extLst>
          </c:dPt>
          <c:dPt>
            <c:idx val="3"/>
            <c:marker>
              <c:symbol val="circle"/>
              <c:size val="21"/>
              <c:spPr>
                <a:solidFill>
                  <a:schemeClr val="accent3">
                    <a:lumMod val="20000"/>
                    <a:lumOff val="80000"/>
                  </a:schemeClr>
                </a:solidFill>
                <a:ln w="15875">
                  <a:solidFill>
                    <a:schemeClr val="accent2"/>
                  </a:solidFill>
                  <a:round/>
                </a:ln>
                <a:effectLst>
                  <a:outerShdw blurRad="50800" dist="38100" dir="18900000" algn="bl" rotWithShape="0">
                    <a:prstClr val="black">
                      <a:alpha val="40000"/>
                    </a:prstClr>
                  </a:outerShdw>
                </a:effectLst>
              </c:spPr>
            </c:marker>
            <c:bubble3D val="0"/>
            <c:extLst>
              <c:ext xmlns:c16="http://schemas.microsoft.com/office/drawing/2014/chart" uri="{C3380CC4-5D6E-409C-BE32-E72D297353CC}">
                <c16:uniqueId val="{0000000B-8EE9-417E-BC60-27B8348F8A95}"/>
              </c:ext>
            </c:extLst>
          </c:dPt>
          <c:dPt>
            <c:idx val="5"/>
            <c:marker>
              <c:symbol val="circle"/>
              <c:size val="21"/>
              <c:spPr>
                <a:solidFill>
                  <a:schemeClr val="accent3">
                    <a:lumMod val="20000"/>
                    <a:lumOff val="80000"/>
                  </a:schemeClr>
                </a:solidFill>
                <a:ln w="15875">
                  <a:solidFill>
                    <a:schemeClr val="accent2"/>
                  </a:solidFill>
                  <a:round/>
                </a:ln>
                <a:effectLst>
                  <a:outerShdw blurRad="50800" dist="38100" dir="18900000" algn="bl" rotWithShape="0">
                    <a:prstClr val="black">
                      <a:alpha val="40000"/>
                    </a:prstClr>
                  </a:outerShdw>
                </a:effectLst>
              </c:spPr>
            </c:marker>
            <c:bubble3D val="0"/>
            <c:extLst>
              <c:ext xmlns:c16="http://schemas.microsoft.com/office/drawing/2014/chart" uri="{C3380CC4-5D6E-409C-BE32-E72D297353CC}">
                <c16:uniqueId val="{0000000C-8EE9-417E-BC60-27B8348F8A95}"/>
              </c:ext>
            </c:extLst>
          </c:dPt>
          <c:dPt>
            <c:idx val="6"/>
            <c:marker>
              <c:symbol val="circle"/>
              <c:size val="21"/>
              <c:spPr>
                <a:solidFill>
                  <a:schemeClr val="accent3">
                    <a:lumMod val="20000"/>
                    <a:lumOff val="80000"/>
                  </a:schemeClr>
                </a:solidFill>
                <a:ln w="15875">
                  <a:solidFill>
                    <a:schemeClr val="accent2"/>
                  </a:solidFill>
                  <a:round/>
                </a:ln>
                <a:effectLst/>
              </c:spPr>
            </c:marker>
            <c:bubble3D val="0"/>
            <c:spPr>
              <a:ln w="22225" cap="rnd">
                <a:noFill/>
                <a:round/>
              </a:ln>
              <a:effectLst/>
            </c:spPr>
            <c:extLst>
              <c:ext xmlns:c16="http://schemas.microsoft.com/office/drawing/2014/chart" uri="{C3380CC4-5D6E-409C-BE32-E72D297353CC}">
                <c16:uniqueId val="{0000000E-8EE9-417E-BC60-27B8348F8A95}"/>
              </c:ext>
            </c:extLst>
          </c:dPt>
          <c:dPt>
            <c:idx val="7"/>
            <c:marker>
              <c:symbol val="circle"/>
              <c:size val="21"/>
              <c:spPr>
                <a:solidFill>
                  <a:schemeClr val="accent3">
                    <a:lumMod val="20000"/>
                    <a:lumOff val="80000"/>
                  </a:schemeClr>
                </a:solidFill>
                <a:ln w="15875">
                  <a:solidFill>
                    <a:schemeClr val="accent2"/>
                  </a:solidFill>
                  <a:round/>
                </a:ln>
                <a:effectLst>
                  <a:outerShdw blurRad="50800" dist="38100" dir="18900000" algn="bl" rotWithShape="0">
                    <a:prstClr val="black">
                      <a:alpha val="40000"/>
                    </a:prstClr>
                  </a:outerShdw>
                </a:effectLst>
              </c:spPr>
            </c:marker>
            <c:bubble3D val="0"/>
            <c:extLst>
              <c:ext xmlns:c16="http://schemas.microsoft.com/office/drawing/2014/chart" uri="{C3380CC4-5D6E-409C-BE32-E72D297353CC}">
                <c16:uniqueId val="{0000000F-8EE9-417E-BC60-27B8348F8A95}"/>
              </c:ext>
            </c:extLst>
          </c:dPt>
          <c:dPt>
            <c:idx val="8"/>
            <c:marker>
              <c:symbol val="circle"/>
              <c:size val="21"/>
              <c:spPr>
                <a:solidFill>
                  <a:schemeClr val="accent3">
                    <a:lumMod val="20000"/>
                    <a:lumOff val="80000"/>
                  </a:schemeClr>
                </a:solidFill>
                <a:ln w="15875">
                  <a:solidFill>
                    <a:schemeClr val="accent2"/>
                  </a:solidFill>
                  <a:round/>
                </a:ln>
                <a:effectLst>
                  <a:outerShdw blurRad="50800" dist="38100" dir="18900000" algn="bl" rotWithShape="0">
                    <a:prstClr val="black">
                      <a:alpha val="40000"/>
                    </a:prstClr>
                  </a:outerShdw>
                </a:effectLst>
              </c:spPr>
            </c:marker>
            <c:bubble3D val="0"/>
            <c:extLst>
              <c:ext xmlns:c16="http://schemas.microsoft.com/office/drawing/2014/chart" uri="{C3380CC4-5D6E-409C-BE32-E72D297353CC}">
                <c16:uniqueId val="{00000010-8EE9-417E-BC60-27B8348F8A95}"/>
              </c:ext>
            </c:extLst>
          </c:dPt>
          <c:dPt>
            <c:idx val="9"/>
            <c:marker>
              <c:symbol val="circle"/>
              <c:size val="21"/>
              <c:spPr>
                <a:solidFill>
                  <a:schemeClr val="accent3">
                    <a:lumMod val="20000"/>
                    <a:lumOff val="80000"/>
                  </a:schemeClr>
                </a:solidFill>
                <a:ln w="15875">
                  <a:solidFill>
                    <a:schemeClr val="accent2"/>
                  </a:solidFill>
                  <a:round/>
                </a:ln>
                <a:effectLst>
                  <a:outerShdw blurRad="50800" dist="38100" dir="18900000" algn="bl" rotWithShape="0">
                    <a:prstClr val="black">
                      <a:alpha val="40000"/>
                    </a:prstClr>
                  </a:outerShdw>
                </a:effectLst>
              </c:spPr>
            </c:marker>
            <c:bubble3D val="0"/>
            <c:extLst>
              <c:ext xmlns:c16="http://schemas.microsoft.com/office/drawing/2014/chart" uri="{C3380CC4-5D6E-409C-BE32-E72D297353CC}">
                <c16:uniqueId val="{00000011-8EE9-417E-BC60-27B8348F8A95}"/>
              </c:ext>
            </c:extLst>
          </c:dPt>
          <c:dPt>
            <c:idx val="10"/>
            <c:marker>
              <c:symbol val="circle"/>
              <c:size val="21"/>
              <c:spPr>
                <a:solidFill>
                  <a:schemeClr val="accent3">
                    <a:lumMod val="20000"/>
                    <a:lumOff val="80000"/>
                  </a:schemeClr>
                </a:solidFill>
                <a:ln w="15875">
                  <a:solidFill>
                    <a:schemeClr val="accent2"/>
                  </a:solidFill>
                  <a:round/>
                </a:ln>
                <a:effectLst>
                  <a:outerShdw blurRad="50800" dist="38100" dir="18900000" algn="bl" rotWithShape="0">
                    <a:prstClr val="black">
                      <a:alpha val="40000"/>
                    </a:prstClr>
                  </a:outerShdw>
                </a:effectLst>
              </c:spPr>
            </c:marker>
            <c:bubble3D val="0"/>
            <c:extLst>
              <c:ext xmlns:c16="http://schemas.microsoft.com/office/drawing/2014/chart" uri="{C3380CC4-5D6E-409C-BE32-E72D297353CC}">
                <c16:uniqueId val="{00000012-8EE9-417E-BC60-27B8348F8A95}"/>
              </c:ext>
            </c:extLst>
          </c:dPt>
          <c:dPt>
            <c:idx val="11"/>
            <c:marker>
              <c:symbol val="circle"/>
              <c:size val="21"/>
              <c:spPr>
                <a:solidFill>
                  <a:schemeClr val="accent3">
                    <a:lumMod val="20000"/>
                    <a:lumOff val="80000"/>
                  </a:schemeClr>
                </a:solidFill>
                <a:ln w="15875">
                  <a:solidFill>
                    <a:schemeClr val="accent2"/>
                  </a:solidFill>
                  <a:round/>
                </a:ln>
                <a:effectLst>
                  <a:outerShdw blurRad="50800" dist="38100" dir="18900000" algn="bl" rotWithShape="0">
                    <a:prstClr val="black">
                      <a:alpha val="40000"/>
                    </a:prstClr>
                  </a:outerShdw>
                </a:effectLst>
              </c:spPr>
            </c:marker>
            <c:bubble3D val="0"/>
            <c:extLst>
              <c:ext xmlns:c16="http://schemas.microsoft.com/office/drawing/2014/chart" uri="{C3380CC4-5D6E-409C-BE32-E72D297353CC}">
                <c16:uniqueId val="{00000013-8EE9-417E-BC60-27B8348F8A95}"/>
              </c:ext>
            </c:extLst>
          </c:dPt>
          <c:dLbls>
            <c:dLbl>
              <c:idx val="5"/>
              <c:layout>
                <c:manualLayout>
                  <c:x val="-9.3474426807760136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EE9-417E-BC60-27B8348F8A95}"/>
                </c:ext>
              </c:extLst>
            </c:dLbl>
            <c:dLbl>
              <c:idx val="12"/>
              <c:delete val="1"/>
              <c:extLst>
                <c:ext xmlns:c15="http://schemas.microsoft.com/office/drawing/2012/chart" uri="{CE6537A1-D6FC-4f65-9D91-7224C49458BB}"/>
                <c:ext xmlns:c16="http://schemas.microsoft.com/office/drawing/2014/chart" uri="{C3380CC4-5D6E-409C-BE32-E72D297353CC}">
                  <c16:uniqueId val="{00000014-8EE9-417E-BC60-27B8348F8A95}"/>
                </c:ext>
              </c:extLst>
            </c:dLbl>
            <c:numFmt formatCode="#,##0.0_ ;[Red]\-#,##0.0\ " sourceLinked="0"/>
            <c:spPr>
              <a:noFill/>
              <a:ln>
                <a:noFill/>
              </a:ln>
              <a:effectLst/>
            </c:spPr>
            <c:txPr>
              <a:bodyPr rot="0" spcFirstLastPara="1" vertOverflow="ellipsis" vert="horz" wrap="square" anchor="ctr" anchorCtr="1"/>
              <a:lstStyle/>
              <a:p>
                <a:pPr>
                  <a:defRPr sz="6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G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Hoja1!$B$1:$E$1</c:f>
              <c:strCache>
                <c:ptCount val="4"/>
                <c:pt idx="0">
                  <c:v>Enero</c:v>
                </c:pt>
                <c:pt idx="1">
                  <c:v>Febrero</c:v>
                </c:pt>
                <c:pt idx="2">
                  <c:v>Marzo</c:v>
                </c:pt>
                <c:pt idx="3">
                  <c:v>Total</c:v>
                </c:pt>
              </c:strCache>
            </c:strRef>
          </c:cat>
          <c:val>
            <c:numRef>
              <c:f>Hoja1!$B$3:$E$3</c:f>
              <c:numCache>
                <c:formatCode>_-* #,##0.0_-;\-* #,##0.0_-;_-* "-"??_-;_-@_-</c:formatCode>
                <c:ptCount val="4"/>
                <c:pt idx="0">
                  <c:v>-215.83104895999998</c:v>
                </c:pt>
                <c:pt idx="1">
                  <c:v>-1446.1343203200001</c:v>
                </c:pt>
                <c:pt idx="2">
                  <c:v>-453.91087937999998</c:v>
                </c:pt>
              </c:numCache>
            </c:numRef>
          </c:val>
          <c:smooth val="0"/>
          <c:extLst>
            <c:ext xmlns:c16="http://schemas.microsoft.com/office/drawing/2014/chart" uri="{C3380CC4-5D6E-409C-BE32-E72D297353CC}">
              <c16:uniqueId val="{00000015-8EE9-417E-BC60-27B8348F8A95}"/>
            </c:ext>
          </c:extLst>
        </c:ser>
        <c:dLbls>
          <c:showLegendKey val="0"/>
          <c:showVal val="0"/>
          <c:showCatName val="0"/>
          <c:showSerName val="0"/>
          <c:showPercent val="0"/>
          <c:showBubbleSize val="0"/>
        </c:dLbls>
        <c:marker val="1"/>
        <c:smooth val="0"/>
        <c:axId val="152970912"/>
        <c:axId val="152969984"/>
      </c:lineChart>
      <c:catAx>
        <c:axId val="152970912"/>
        <c:scaling>
          <c:orientation val="minMax"/>
        </c:scaling>
        <c:delete val="0"/>
        <c:axPos val="b"/>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900" b="1"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es-GT"/>
          </a:p>
        </c:txPr>
        <c:crossAx val="152969984"/>
        <c:crosses val="autoZero"/>
        <c:auto val="1"/>
        <c:lblAlgn val="ctr"/>
        <c:lblOffset val="100"/>
        <c:noMultiLvlLbl val="0"/>
      </c:catAx>
      <c:valAx>
        <c:axId val="152969984"/>
        <c:scaling>
          <c:orientation val="minMax"/>
          <c:max val="1000"/>
          <c:min val="-3000"/>
        </c:scaling>
        <c:delete val="0"/>
        <c:axPos val="l"/>
        <c:majorGridlines>
          <c:spPr>
            <a:ln w="9525" cap="flat" cmpd="sng" algn="ctr">
              <a:solidFill>
                <a:schemeClr val="dk1">
                  <a:lumMod val="15000"/>
                  <a:lumOff val="85000"/>
                </a:schemeClr>
              </a:solidFill>
              <a:round/>
            </a:ln>
            <a:effectLst/>
          </c:spPr>
        </c:majorGridlines>
        <c:numFmt formatCode="#,##0_ ;[Red]\-#,##0\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52970912"/>
        <c:crosses val="autoZero"/>
        <c:crossBetween val="between"/>
        <c:minorUnit val="1000"/>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0.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27429C-5B6E-468F-AF42-BE9281FF2A23}" type="doc">
      <dgm:prSet loTypeId="urn:microsoft.com/office/officeart/2005/8/layout/list1" loCatId="list" qsTypeId="urn:microsoft.com/office/officeart/2005/8/quickstyle/3d2" qsCatId="3D" csTypeId="urn:microsoft.com/office/officeart/2005/8/colors/accent1_2" csCatId="accent1" phldr="1"/>
      <dgm:spPr/>
      <dgm:t>
        <a:bodyPr/>
        <a:lstStyle/>
        <a:p>
          <a:endParaRPr lang="en-US"/>
        </a:p>
      </dgm:t>
    </dgm:pt>
    <dgm:pt modelId="{68DFCB13-F778-41C4-88A6-8A8793BBCF6B}">
      <dgm:prSet phldrT="[Texto]" custT="1"/>
      <dgm:spPr/>
      <dgm:t>
        <a:bodyPr/>
        <a:lstStyle/>
        <a:p>
          <a:r>
            <a:rPr lang="en-US" sz="1000">
              <a:latin typeface="Times New Roman" panose="02020603050405020304" pitchFamily="18" charset="0"/>
              <a:cs typeface="Times New Roman" panose="02020603050405020304" pitchFamily="18" charset="0"/>
            </a:rPr>
            <a:t>Nota Informativa</a:t>
          </a:r>
        </a:p>
      </dgm:t>
    </dgm:pt>
    <dgm:pt modelId="{55E528F8-5473-447A-B4D6-39039A5FF545}" type="parTrans" cxnId="{9E117C35-F0A3-4260-AE5F-3261DFB7C6EE}">
      <dgm:prSet/>
      <dgm:spPr/>
      <dgm:t>
        <a:bodyPr/>
        <a:lstStyle/>
        <a:p>
          <a:endParaRPr lang="en-US" sz="800">
            <a:latin typeface="Times New Roman" panose="02020603050405020304" pitchFamily="18" charset="0"/>
            <a:cs typeface="Times New Roman" panose="02020603050405020304" pitchFamily="18" charset="0"/>
          </a:endParaRPr>
        </a:p>
      </dgm:t>
    </dgm:pt>
    <dgm:pt modelId="{18C21111-088F-4CAC-A53E-A2F91EF73064}" type="sibTrans" cxnId="{9E117C35-F0A3-4260-AE5F-3261DFB7C6EE}">
      <dgm:prSet/>
      <dgm:spPr/>
      <dgm:t>
        <a:bodyPr/>
        <a:lstStyle/>
        <a:p>
          <a:endParaRPr lang="en-US" sz="800">
            <a:latin typeface="Times New Roman" panose="02020603050405020304" pitchFamily="18" charset="0"/>
            <a:cs typeface="Times New Roman" panose="02020603050405020304" pitchFamily="18" charset="0"/>
          </a:endParaRPr>
        </a:p>
      </dgm:t>
    </dgm:pt>
    <dgm:pt modelId="{01C29C0B-230A-4A2F-B7AB-59E88CC6B709}">
      <dgm:prSet phldrT="[Texto]" custT="1"/>
      <dgm:spPr/>
      <dgm:t>
        <a:bodyPr/>
        <a:lstStyle/>
        <a:p>
          <a:r>
            <a:rPr lang="en-US" sz="1000">
              <a:latin typeface="Times New Roman" panose="02020603050405020304" pitchFamily="18" charset="0"/>
              <a:cs typeface="Times New Roman" panose="02020603050405020304" pitchFamily="18" charset="0"/>
            </a:rPr>
            <a:t>Hay una diferencia importante entre la definición de "ingreso" en la metodología nacional y los es</a:t>
          </a:r>
          <a:r>
            <a:rPr lang="en-US" sz="1000">
              <a:solidFill>
                <a:sysClr val="windowText" lastClr="000000"/>
              </a:solidFill>
              <a:latin typeface="Times New Roman" panose="02020603050405020304" pitchFamily="18" charset="0"/>
              <a:cs typeface="Times New Roman" panose="02020603050405020304" pitchFamily="18" charset="0"/>
            </a:rPr>
            <a:t>tán</a:t>
          </a:r>
          <a:r>
            <a:rPr lang="en-US" sz="1000">
              <a:latin typeface="Times New Roman" panose="02020603050405020304" pitchFamily="18" charset="0"/>
              <a:cs typeface="Times New Roman" panose="02020603050405020304" pitchFamily="18" charset="0"/>
            </a:rPr>
            <a:t>dares internacionales. </a:t>
          </a:r>
          <a:r>
            <a:rPr lang="en-US" sz="1000" b="1">
              <a:latin typeface="Times New Roman" panose="02020603050405020304" pitchFamily="18" charset="0"/>
              <a:cs typeface="Times New Roman" panose="02020603050405020304" pitchFamily="18" charset="0"/>
            </a:rPr>
            <a:t>En los </a:t>
          </a:r>
          <a:r>
            <a:rPr lang="en-US" sz="1000" b="1" strike="noStrike">
              <a:solidFill>
                <a:sysClr val="windowText" lastClr="000000"/>
              </a:solidFill>
              <a:latin typeface="Times New Roman" panose="02020603050405020304" pitchFamily="18" charset="0"/>
              <a:cs typeface="Times New Roman" panose="02020603050405020304" pitchFamily="18" charset="0"/>
            </a:rPr>
            <a:t>estándares</a:t>
          </a:r>
          <a:r>
            <a:rPr lang="en-US" sz="1000" b="1">
              <a:latin typeface="Times New Roman" panose="02020603050405020304" pitchFamily="18" charset="0"/>
              <a:cs typeface="Times New Roman" panose="02020603050405020304" pitchFamily="18" charset="0"/>
            </a:rPr>
            <a:t> internacionales, un ingreso es un aumento del patrimonio neto como resultado de una transacción (MEFP 2014) </a:t>
          </a:r>
        </a:p>
      </dgm:t>
    </dgm:pt>
    <dgm:pt modelId="{BD00C7DA-D115-4DC8-96E9-9A8238F85148}" type="parTrans" cxnId="{047B5950-955A-4E9C-890F-03A957F573F6}">
      <dgm:prSet/>
      <dgm:spPr/>
      <dgm:t>
        <a:bodyPr/>
        <a:lstStyle/>
        <a:p>
          <a:endParaRPr lang="en-US" sz="800">
            <a:latin typeface="Times New Roman" panose="02020603050405020304" pitchFamily="18" charset="0"/>
            <a:cs typeface="Times New Roman" panose="02020603050405020304" pitchFamily="18" charset="0"/>
          </a:endParaRPr>
        </a:p>
      </dgm:t>
    </dgm:pt>
    <dgm:pt modelId="{65EB422C-F1D3-4985-A61D-252683A994E5}" type="sibTrans" cxnId="{047B5950-955A-4E9C-890F-03A957F573F6}">
      <dgm:prSet/>
      <dgm:spPr/>
      <dgm:t>
        <a:bodyPr/>
        <a:lstStyle/>
        <a:p>
          <a:endParaRPr lang="en-US" sz="800">
            <a:latin typeface="Times New Roman" panose="02020603050405020304" pitchFamily="18" charset="0"/>
            <a:cs typeface="Times New Roman" panose="02020603050405020304" pitchFamily="18" charset="0"/>
          </a:endParaRPr>
        </a:p>
      </dgm:t>
    </dgm:pt>
    <dgm:pt modelId="{7323760A-CAC8-432D-A020-F77BFA77D735}" type="pres">
      <dgm:prSet presAssocID="{FF27429C-5B6E-468F-AF42-BE9281FF2A23}" presName="linear" presStyleCnt="0">
        <dgm:presLayoutVars>
          <dgm:dir/>
          <dgm:animLvl val="lvl"/>
          <dgm:resizeHandles val="exact"/>
        </dgm:presLayoutVars>
      </dgm:prSet>
      <dgm:spPr/>
    </dgm:pt>
    <dgm:pt modelId="{6E63B848-FDAE-4891-8566-8BE88B653316}" type="pres">
      <dgm:prSet presAssocID="{68DFCB13-F778-41C4-88A6-8A8793BBCF6B}" presName="parentLin" presStyleCnt="0"/>
      <dgm:spPr/>
    </dgm:pt>
    <dgm:pt modelId="{374EA5B0-C6AD-46BF-9645-7F0ED252FE66}" type="pres">
      <dgm:prSet presAssocID="{68DFCB13-F778-41C4-88A6-8A8793BBCF6B}" presName="parentLeftMargin" presStyleLbl="node1" presStyleIdx="0" presStyleCnt="1"/>
      <dgm:spPr/>
    </dgm:pt>
    <dgm:pt modelId="{377E1CD8-0067-463D-AA47-7581C029D7D4}" type="pres">
      <dgm:prSet presAssocID="{68DFCB13-F778-41C4-88A6-8A8793BBCF6B}" presName="parentText" presStyleLbl="node1" presStyleIdx="0" presStyleCnt="1" custScaleX="33793">
        <dgm:presLayoutVars>
          <dgm:chMax val="0"/>
          <dgm:bulletEnabled val="1"/>
        </dgm:presLayoutVars>
      </dgm:prSet>
      <dgm:spPr/>
    </dgm:pt>
    <dgm:pt modelId="{8C78493C-3C9C-4FDF-89DE-DDAC27488222}" type="pres">
      <dgm:prSet presAssocID="{68DFCB13-F778-41C4-88A6-8A8793BBCF6B}" presName="negativeSpace" presStyleCnt="0"/>
      <dgm:spPr/>
    </dgm:pt>
    <dgm:pt modelId="{1111B519-2F2F-4512-95FE-D2216303CCBE}" type="pres">
      <dgm:prSet presAssocID="{68DFCB13-F778-41C4-88A6-8A8793BBCF6B}" presName="childText" presStyleLbl="conFgAcc1" presStyleIdx="0" presStyleCnt="1">
        <dgm:presLayoutVars>
          <dgm:bulletEnabled val="1"/>
        </dgm:presLayoutVars>
      </dgm:prSet>
      <dgm:spPr/>
    </dgm:pt>
  </dgm:ptLst>
  <dgm:cxnLst>
    <dgm:cxn modelId="{2B97E307-DDDC-45DC-9CA7-632648FED3B9}" type="presOf" srcId="{01C29C0B-230A-4A2F-B7AB-59E88CC6B709}" destId="{1111B519-2F2F-4512-95FE-D2216303CCBE}" srcOrd="0" destOrd="0" presId="urn:microsoft.com/office/officeart/2005/8/layout/list1"/>
    <dgm:cxn modelId="{E9E7F310-CA62-40CB-950B-C2B09700E887}" type="presOf" srcId="{FF27429C-5B6E-468F-AF42-BE9281FF2A23}" destId="{7323760A-CAC8-432D-A020-F77BFA77D735}" srcOrd="0" destOrd="0" presId="urn:microsoft.com/office/officeart/2005/8/layout/list1"/>
    <dgm:cxn modelId="{9E117C35-F0A3-4260-AE5F-3261DFB7C6EE}" srcId="{FF27429C-5B6E-468F-AF42-BE9281FF2A23}" destId="{68DFCB13-F778-41C4-88A6-8A8793BBCF6B}" srcOrd="0" destOrd="0" parTransId="{55E528F8-5473-447A-B4D6-39039A5FF545}" sibTransId="{18C21111-088F-4CAC-A53E-A2F91EF73064}"/>
    <dgm:cxn modelId="{CF9E1A65-553C-4315-9B4D-6922C5CF2185}" type="presOf" srcId="{68DFCB13-F778-41C4-88A6-8A8793BBCF6B}" destId="{377E1CD8-0067-463D-AA47-7581C029D7D4}" srcOrd="1" destOrd="0" presId="urn:microsoft.com/office/officeart/2005/8/layout/list1"/>
    <dgm:cxn modelId="{047B5950-955A-4E9C-890F-03A957F573F6}" srcId="{68DFCB13-F778-41C4-88A6-8A8793BBCF6B}" destId="{01C29C0B-230A-4A2F-B7AB-59E88CC6B709}" srcOrd="0" destOrd="0" parTransId="{BD00C7DA-D115-4DC8-96E9-9A8238F85148}" sibTransId="{65EB422C-F1D3-4985-A61D-252683A994E5}"/>
    <dgm:cxn modelId="{3FDC437B-7FEB-4570-9F57-FAA88171B111}" type="presOf" srcId="{68DFCB13-F778-41C4-88A6-8A8793BBCF6B}" destId="{374EA5B0-C6AD-46BF-9645-7F0ED252FE66}" srcOrd="0" destOrd="0" presId="urn:microsoft.com/office/officeart/2005/8/layout/list1"/>
    <dgm:cxn modelId="{4BC55A49-751C-408F-B176-B7C4C361EF7E}" type="presParOf" srcId="{7323760A-CAC8-432D-A020-F77BFA77D735}" destId="{6E63B848-FDAE-4891-8566-8BE88B653316}" srcOrd="0" destOrd="0" presId="urn:microsoft.com/office/officeart/2005/8/layout/list1"/>
    <dgm:cxn modelId="{168861B8-2B13-4D21-A0A3-3DF5AA125F21}" type="presParOf" srcId="{6E63B848-FDAE-4891-8566-8BE88B653316}" destId="{374EA5B0-C6AD-46BF-9645-7F0ED252FE66}" srcOrd="0" destOrd="0" presId="urn:microsoft.com/office/officeart/2005/8/layout/list1"/>
    <dgm:cxn modelId="{FD713377-EE71-47D7-9EBD-4A34BD75CF63}" type="presParOf" srcId="{6E63B848-FDAE-4891-8566-8BE88B653316}" destId="{377E1CD8-0067-463D-AA47-7581C029D7D4}" srcOrd="1" destOrd="0" presId="urn:microsoft.com/office/officeart/2005/8/layout/list1"/>
    <dgm:cxn modelId="{855C1ABF-EE0E-4368-AAF2-7D3585E239A5}" type="presParOf" srcId="{7323760A-CAC8-432D-A020-F77BFA77D735}" destId="{8C78493C-3C9C-4FDF-89DE-DDAC27488222}" srcOrd="1" destOrd="0" presId="urn:microsoft.com/office/officeart/2005/8/layout/list1"/>
    <dgm:cxn modelId="{680373E2-88CE-4642-9587-481CCEFD2578}" type="presParOf" srcId="{7323760A-CAC8-432D-A020-F77BFA77D735}" destId="{1111B519-2F2F-4512-95FE-D2216303CCBE}" srcOrd="2"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27429C-5B6E-468F-AF42-BE9281FF2A23}" type="doc">
      <dgm:prSet loTypeId="urn:microsoft.com/office/officeart/2005/8/layout/list1" loCatId="list" qsTypeId="urn:microsoft.com/office/officeart/2005/8/quickstyle/3d2" qsCatId="3D" csTypeId="urn:microsoft.com/office/officeart/2005/8/colors/accent1_2" csCatId="accent1" phldr="1"/>
      <dgm:spPr/>
      <dgm:t>
        <a:bodyPr/>
        <a:lstStyle/>
        <a:p>
          <a:endParaRPr lang="en-US"/>
        </a:p>
      </dgm:t>
    </dgm:pt>
    <dgm:pt modelId="{68DFCB13-F778-41C4-88A6-8A8793BBCF6B}">
      <dgm:prSet phldrT="[Texto]" custT="1"/>
      <dgm:spPr/>
      <dgm:t>
        <a:bodyPr/>
        <a:lstStyle/>
        <a:p>
          <a:r>
            <a:rPr lang="en-US" sz="1000">
              <a:latin typeface="Times New Roman" panose="02020603050405020304" pitchFamily="18" charset="0"/>
              <a:cs typeface="Times New Roman" panose="02020603050405020304" pitchFamily="18" charset="0"/>
            </a:rPr>
            <a:t>Nota Informativa</a:t>
          </a:r>
        </a:p>
      </dgm:t>
    </dgm:pt>
    <dgm:pt modelId="{55E528F8-5473-447A-B4D6-39039A5FF545}" type="parTrans" cxnId="{9E117C35-F0A3-4260-AE5F-3261DFB7C6EE}">
      <dgm:prSet/>
      <dgm:spPr/>
      <dgm:t>
        <a:bodyPr/>
        <a:lstStyle/>
        <a:p>
          <a:endParaRPr lang="en-US" sz="800">
            <a:latin typeface="Times New Roman" panose="02020603050405020304" pitchFamily="18" charset="0"/>
            <a:cs typeface="Times New Roman" panose="02020603050405020304" pitchFamily="18" charset="0"/>
          </a:endParaRPr>
        </a:p>
      </dgm:t>
    </dgm:pt>
    <dgm:pt modelId="{18C21111-088F-4CAC-A53E-A2F91EF73064}" type="sibTrans" cxnId="{9E117C35-F0A3-4260-AE5F-3261DFB7C6EE}">
      <dgm:prSet/>
      <dgm:spPr/>
      <dgm:t>
        <a:bodyPr/>
        <a:lstStyle/>
        <a:p>
          <a:endParaRPr lang="en-US" sz="800">
            <a:latin typeface="Times New Roman" panose="02020603050405020304" pitchFamily="18" charset="0"/>
            <a:cs typeface="Times New Roman" panose="02020603050405020304" pitchFamily="18" charset="0"/>
          </a:endParaRPr>
        </a:p>
      </dgm:t>
    </dgm:pt>
    <dgm:pt modelId="{01C29C0B-230A-4A2F-B7AB-59E88CC6B709}">
      <dgm:prSet phldrT="[Texto]" custT="1"/>
      <dgm:spPr/>
      <dgm:t>
        <a:bodyPr/>
        <a:lstStyle/>
        <a:p>
          <a:pPr algn="just"/>
          <a:r>
            <a:rPr lang="en-US" sz="1000">
              <a:latin typeface="Times New Roman" panose="02020603050405020304" pitchFamily="18" charset="0"/>
              <a:cs typeface="Times New Roman" panose="02020603050405020304" pitchFamily="18" charset="0"/>
            </a:rPr>
            <a:t>Los "Gastos" en los estándares internacionales presentan mayores diferencias respecto a la información presentada en metodología nacional y es importante entender que estos no son comparables entre si. </a:t>
          </a:r>
          <a:r>
            <a:rPr lang="en-US" sz="1000" b="1">
              <a:latin typeface="Times New Roman" panose="02020603050405020304" pitchFamily="18" charset="0"/>
              <a:cs typeface="Times New Roman" panose="02020603050405020304" pitchFamily="18" charset="0"/>
            </a:rPr>
            <a:t>En los e</a:t>
          </a:r>
          <a:r>
            <a:rPr lang="en-US" sz="1000" b="1" strike="noStrike">
              <a:solidFill>
                <a:sysClr val="windowText" lastClr="000000"/>
              </a:solidFill>
              <a:latin typeface="Times New Roman" panose="02020603050405020304" pitchFamily="18" charset="0"/>
              <a:cs typeface="Times New Roman" panose="02020603050405020304" pitchFamily="18" charset="0"/>
            </a:rPr>
            <a:t>stándares</a:t>
          </a:r>
          <a:r>
            <a:rPr lang="en-US" sz="1000" b="1">
              <a:latin typeface="Times New Roman" panose="02020603050405020304" pitchFamily="18" charset="0"/>
              <a:cs typeface="Times New Roman" panose="02020603050405020304" pitchFamily="18" charset="0"/>
            </a:rPr>
            <a:t> internacionales, un gasto es una transacción que  disminuye el patrimonio neto del gobierno (MEFP 2014) </a:t>
          </a:r>
        </a:p>
      </dgm:t>
    </dgm:pt>
    <dgm:pt modelId="{BD00C7DA-D115-4DC8-96E9-9A8238F85148}" type="parTrans" cxnId="{047B5950-955A-4E9C-890F-03A957F573F6}">
      <dgm:prSet/>
      <dgm:spPr/>
      <dgm:t>
        <a:bodyPr/>
        <a:lstStyle/>
        <a:p>
          <a:endParaRPr lang="en-US" sz="800">
            <a:latin typeface="Times New Roman" panose="02020603050405020304" pitchFamily="18" charset="0"/>
            <a:cs typeface="Times New Roman" panose="02020603050405020304" pitchFamily="18" charset="0"/>
          </a:endParaRPr>
        </a:p>
      </dgm:t>
    </dgm:pt>
    <dgm:pt modelId="{65EB422C-F1D3-4985-A61D-252683A994E5}" type="sibTrans" cxnId="{047B5950-955A-4E9C-890F-03A957F573F6}">
      <dgm:prSet/>
      <dgm:spPr/>
      <dgm:t>
        <a:bodyPr/>
        <a:lstStyle/>
        <a:p>
          <a:endParaRPr lang="en-US" sz="800">
            <a:latin typeface="Times New Roman" panose="02020603050405020304" pitchFamily="18" charset="0"/>
            <a:cs typeface="Times New Roman" panose="02020603050405020304" pitchFamily="18" charset="0"/>
          </a:endParaRPr>
        </a:p>
      </dgm:t>
    </dgm:pt>
    <dgm:pt modelId="{2CC71809-35DE-431A-8E89-16EE3CBE8060}">
      <dgm:prSet phldrT="[Texto]" custT="1"/>
      <dgm:spPr/>
      <dgm:t>
        <a:bodyPr/>
        <a:lstStyle/>
        <a:p>
          <a:pPr algn="just"/>
          <a:endParaRPr lang="en-US" sz="1000" b="1">
            <a:latin typeface="Times New Roman" panose="02020603050405020304" pitchFamily="18" charset="0"/>
            <a:cs typeface="Times New Roman" panose="02020603050405020304" pitchFamily="18" charset="0"/>
          </a:endParaRPr>
        </a:p>
      </dgm:t>
    </dgm:pt>
    <dgm:pt modelId="{FB3419CE-7C14-4ADE-BDF0-3D966782548A}" type="parTrans" cxnId="{537138B4-325E-4E94-87BB-8E2AEB889CE3}">
      <dgm:prSet/>
      <dgm:spPr/>
      <dgm:t>
        <a:bodyPr/>
        <a:lstStyle/>
        <a:p>
          <a:endParaRPr lang="es-GT"/>
        </a:p>
      </dgm:t>
    </dgm:pt>
    <dgm:pt modelId="{8B785DAD-3895-49B6-A969-58089C321C73}" type="sibTrans" cxnId="{537138B4-325E-4E94-87BB-8E2AEB889CE3}">
      <dgm:prSet/>
      <dgm:spPr/>
      <dgm:t>
        <a:bodyPr/>
        <a:lstStyle/>
        <a:p>
          <a:endParaRPr lang="es-GT"/>
        </a:p>
      </dgm:t>
    </dgm:pt>
    <dgm:pt modelId="{7323760A-CAC8-432D-A020-F77BFA77D735}" type="pres">
      <dgm:prSet presAssocID="{FF27429C-5B6E-468F-AF42-BE9281FF2A23}" presName="linear" presStyleCnt="0">
        <dgm:presLayoutVars>
          <dgm:dir/>
          <dgm:animLvl val="lvl"/>
          <dgm:resizeHandles val="exact"/>
        </dgm:presLayoutVars>
      </dgm:prSet>
      <dgm:spPr/>
    </dgm:pt>
    <dgm:pt modelId="{6E63B848-FDAE-4891-8566-8BE88B653316}" type="pres">
      <dgm:prSet presAssocID="{68DFCB13-F778-41C4-88A6-8A8793BBCF6B}" presName="parentLin" presStyleCnt="0"/>
      <dgm:spPr/>
    </dgm:pt>
    <dgm:pt modelId="{374EA5B0-C6AD-46BF-9645-7F0ED252FE66}" type="pres">
      <dgm:prSet presAssocID="{68DFCB13-F778-41C4-88A6-8A8793BBCF6B}" presName="parentLeftMargin" presStyleLbl="node1" presStyleIdx="0" presStyleCnt="1"/>
      <dgm:spPr/>
    </dgm:pt>
    <dgm:pt modelId="{377E1CD8-0067-463D-AA47-7581C029D7D4}" type="pres">
      <dgm:prSet presAssocID="{68DFCB13-F778-41C4-88A6-8A8793BBCF6B}" presName="parentText" presStyleLbl="node1" presStyleIdx="0" presStyleCnt="1" custScaleX="33793">
        <dgm:presLayoutVars>
          <dgm:chMax val="0"/>
          <dgm:bulletEnabled val="1"/>
        </dgm:presLayoutVars>
      </dgm:prSet>
      <dgm:spPr/>
    </dgm:pt>
    <dgm:pt modelId="{8C78493C-3C9C-4FDF-89DE-DDAC27488222}" type="pres">
      <dgm:prSet presAssocID="{68DFCB13-F778-41C4-88A6-8A8793BBCF6B}" presName="negativeSpace" presStyleCnt="0"/>
      <dgm:spPr/>
    </dgm:pt>
    <dgm:pt modelId="{1111B519-2F2F-4512-95FE-D2216303CCBE}" type="pres">
      <dgm:prSet presAssocID="{68DFCB13-F778-41C4-88A6-8A8793BBCF6B}" presName="childText" presStyleLbl="conFgAcc1" presStyleIdx="0" presStyleCnt="1" custLinFactY="-1552" custLinFactNeighborX="-34956" custLinFactNeighborY="-100000">
        <dgm:presLayoutVars>
          <dgm:bulletEnabled val="1"/>
        </dgm:presLayoutVars>
      </dgm:prSet>
      <dgm:spPr/>
    </dgm:pt>
  </dgm:ptLst>
  <dgm:cxnLst>
    <dgm:cxn modelId="{2B97E307-DDDC-45DC-9CA7-632648FED3B9}" type="presOf" srcId="{01C29C0B-230A-4A2F-B7AB-59E88CC6B709}" destId="{1111B519-2F2F-4512-95FE-D2216303CCBE}" srcOrd="0" destOrd="1" presId="urn:microsoft.com/office/officeart/2005/8/layout/list1"/>
    <dgm:cxn modelId="{E9E7F310-CA62-40CB-950B-C2B09700E887}" type="presOf" srcId="{FF27429C-5B6E-468F-AF42-BE9281FF2A23}" destId="{7323760A-CAC8-432D-A020-F77BFA77D735}" srcOrd="0" destOrd="0" presId="urn:microsoft.com/office/officeart/2005/8/layout/list1"/>
    <dgm:cxn modelId="{9E117C35-F0A3-4260-AE5F-3261DFB7C6EE}" srcId="{FF27429C-5B6E-468F-AF42-BE9281FF2A23}" destId="{68DFCB13-F778-41C4-88A6-8A8793BBCF6B}" srcOrd="0" destOrd="0" parTransId="{55E528F8-5473-447A-B4D6-39039A5FF545}" sibTransId="{18C21111-088F-4CAC-A53E-A2F91EF73064}"/>
    <dgm:cxn modelId="{CF9E1A65-553C-4315-9B4D-6922C5CF2185}" type="presOf" srcId="{68DFCB13-F778-41C4-88A6-8A8793BBCF6B}" destId="{377E1CD8-0067-463D-AA47-7581C029D7D4}" srcOrd="1" destOrd="0" presId="urn:microsoft.com/office/officeart/2005/8/layout/list1"/>
    <dgm:cxn modelId="{047B5950-955A-4E9C-890F-03A957F573F6}" srcId="{68DFCB13-F778-41C4-88A6-8A8793BBCF6B}" destId="{01C29C0B-230A-4A2F-B7AB-59E88CC6B709}" srcOrd="1" destOrd="0" parTransId="{BD00C7DA-D115-4DC8-96E9-9A8238F85148}" sibTransId="{65EB422C-F1D3-4985-A61D-252683A994E5}"/>
    <dgm:cxn modelId="{4D524D71-7747-4CA7-959A-0C1A1AB0D512}" type="presOf" srcId="{2CC71809-35DE-431A-8E89-16EE3CBE8060}" destId="{1111B519-2F2F-4512-95FE-D2216303CCBE}" srcOrd="0" destOrd="0" presId="urn:microsoft.com/office/officeart/2005/8/layout/list1"/>
    <dgm:cxn modelId="{3FDC437B-7FEB-4570-9F57-FAA88171B111}" type="presOf" srcId="{68DFCB13-F778-41C4-88A6-8A8793BBCF6B}" destId="{374EA5B0-C6AD-46BF-9645-7F0ED252FE66}" srcOrd="0" destOrd="0" presId="urn:microsoft.com/office/officeart/2005/8/layout/list1"/>
    <dgm:cxn modelId="{537138B4-325E-4E94-87BB-8E2AEB889CE3}" srcId="{68DFCB13-F778-41C4-88A6-8A8793BBCF6B}" destId="{2CC71809-35DE-431A-8E89-16EE3CBE8060}" srcOrd="0" destOrd="0" parTransId="{FB3419CE-7C14-4ADE-BDF0-3D966782548A}" sibTransId="{8B785DAD-3895-49B6-A969-58089C321C73}"/>
    <dgm:cxn modelId="{4BC55A49-751C-408F-B176-B7C4C361EF7E}" type="presParOf" srcId="{7323760A-CAC8-432D-A020-F77BFA77D735}" destId="{6E63B848-FDAE-4891-8566-8BE88B653316}" srcOrd="0" destOrd="0" presId="urn:microsoft.com/office/officeart/2005/8/layout/list1"/>
    <dgm:cxn modelId="{168861B8-2B13-4D21-A0A3-3DF5AA125F21}" type="presParOf" srcId="{6E63B848-FDAE-4891-8566-8BE88B653316}" destId="{374EA5B0-C6AD-46BF-9645-7F0ED252FE66}" srcOrd="0" destOrd="0" presId="urn:microsoft.com/office/officeart/2005/8/layout/list1"/>
    <dgm:cxn modelId="{FD713377-EE71-47D7-9EBD-4A34BD75CF63}" type="presParOf" srcId="{6E63B848-FDAE-4891-8566-8BE88B653316}" destId="{377E1CD8-0067-463D-AA47-7581C029D7D4}" srcOrd="1" destOrd="0" presId="urn:microsoft.com/office/officeart/2005/8/layout/list1"/>
    <dgm:cxn modelId="{855C1ABF-EE0E-4368-AAF2-7D3585E239A5}" type="presParOf" srcId="{7323760A-CAC8-432D-A020-F77BFA77D735}" destId="{8C78493C-3C9C-4FDF-89DE-DDAC27488222}" srcOrd="1" destOrd="0" presId="urn:microsoft.com/office/officeart/2005/8/layout/list1"/>
    <dgm:cxn modelId="{680373E2-88CE-4642-9587-481CCEFD2578}" type="presParOf" srcId="{7323760A-CAC8-432D-A020-F77BFA77D735}" destId="{1111B519-2F2F-4512-95FE-D2216303CCBE}" srcOrd="2" destOrd="0" presId="urn:microsoft.com/office/officeart/2005/8/layout/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F27429C-5B6E-468F-AF42-BE9281FF2A23}" type="doc">
      <dgm:prSet loTypeId="urn:microsoft.com/office/officeart/2005/8/layout/list1" loCatId="list" qsTypeId="urn:microsoft.com/office/officeart/2005/8/quickstyle/3d2" qsCatId="3D" csTypeId="urn:microsoft.com/office/officeart/2005/8/colors/accent1_2" csCatId="accent1" phldr="1"/>
      <dgm:spPr/>
      <dgm:t>
        <a:bodyPr/>
        <a:lstStyle/>
        <a:p>
          <a:endParaRPr lang="en-US"/>
        </a:p>
      </dgm:t>
    </dgm:pt>
    <dgm:pt modelId="{68DFCB13-F778-41C4-88A6-8A8793BBCF6B}">
      <dgm:prSet phldrT="[Texto]" custT="1"/>
      <dgm:spPr/>
      <dgm:t>
        <a:bodyPr/>
        <a:lstStyle/>
        <a:p>
          <a:r>
            <a:rPr lang="en-US" sz="1000">
              <a:latin typeface="Times New Roman" panose="02020603050405020304" pitchFamily="18" charset="0"/>
              <a:cs typeface="Times New Roman" panose="02020603050405020304" pitchFamily="18" charset="0"/>
            </a:rPr>
            <a:t>Nota Informativa</a:t>
          </a:r>
        </a:p>
      </dgm:t>
    </dgm:pt>
    <dgm:pt modelId="{55E528F8-5473-447A-B4D6-39039A5FF545}" type="parTrans" cxnId="{9E117C35-F0A3-4260-AE5F-3261DFB7C6EE}">
      <dgm:prSet/>
      <dgm:spPr/>
      <dgm:t>
        <a:bodyPr/>
        <a:lstStyle/>
        <a:p>
          <a:endParaRPr lang="en-US" sz="800">
            <a:latin typeface="Times New Roman" panose="02020603050405020304" pitchFamily="18" charset="0"/>
            <a:cs typeface="Times New Roman" panose="02020603050405020304" pitchFamily="18" charset="0"/>
          </a:endParaRPr>
        </a:p>
      </dgm:t>
    </dgm:pt>
    <dgm:pt modelId="{18C21111-088F-4CAC-A53E-A2F91EF73064}" type="sibTrans" cxnId="{9E117C35-F0A3-4260-AE5F-3261DFB7C6EE}">
      <dgm:prSet/>
      <dgm:spPr/>
      <dgm:t>
        <a:bodyPr/>
        <a:lstStyle/>
        <a:p>
          <a:endParaRPr lang="en-US" sz="800">
            <a:latin typeface="Times New Roman" panose="02020603050405020304" pitchFamily="18" charset="0"/>
            <a:cs typeface="Times New Roman" panose="02020603050405020304" pitchFamily="18" charset="0"/>
          </a:endParaRPr>
        </a:p>
      </dgm:t>
    </dgm:pt>
    <dgm:pt modelId="{01C29C0B-230A-4A2F-B7AB-59E88CC6B709}">
      <dgm:prSet phldrT="[Texto]" custT="1"/>
      <dgm:spPr/>
      <dgm:t>
        <a:bodyPr/>
        <a:lstStyle/>
        <a:p>
          <a:pPr algn="just"/>
          <a:r>
            <a:rPr lang="en-US" sz="1000" b="0">
              <a:latin typeface="Times New Roman" panose="02020603050405020304" pitchFamily="18" charset="0"/>
              <a:cs typeface="Times New Roman" panose="02020603050405020304" pitchFamily="18" charset="0"/>
            </a:rPr>
            <a:t>Una transacción es un flujo económico que consiste en una interacción entre unidades institucionales </a:t>
          </a:r>
          <a:r>
            <a:rPr lang="en-US" sz="1000" b="1">
              <a:latin typeface="Times New Roman" panose="02020603050405020304" pitchFamily="18" charset="0"/>
              <a:cs typeface="Times New Roman" panose="02020603050405020304" pitchFamily="18" charset="0"/>
            </a:rPr>
            <a:t>por mutuo acuerdo o mediante la aplicación de la ley.... (MEFP 2014)</a:t>
          </a:r>
          <a:r>
            <a:rPr lang="en-US" sz="1000" b="0">
              <a:latin typeface="Times New Roman" panose="02020603050405020304" pitchFamily="18" charset="0"/>
              <a:cs typeface="Times New Roman" panose="02020603050405020304" pitchFamily="18" charset="0"/>
            </a:rPr>
            <a:t>. </a:t>
          </a:r>
          <a:r>
            <a:rPr lang="en-US" sz="1000" b="1">
              <a:latin typeface="Times New Roman" panose="02020603050405020304" pitchFamily="18" charset="0"/>
              <a:cs typeface="Times New Roman" panose="02020603050405020304" pitchFamily="18" charset="0"/>
            </a:rPr>
            <a:t>Las transacciones en activos y pasivos no generan cambios en el patrimonio neto.</a:t>
          </a:r>
        </a:p>
      </dgm:t>
    </dgm:pt>
    <dgm:pt modelId="{BD00C7DA-D115-4DC8-96E9-9A8238F85148}" type="parTrans" cxnId="{047B5950-955A-4E9C-890F-03A957F573F6}">
      <dgm:prSet/>
      <dgm:spPr/>
      <dgm:t>
        <a:bodyPr/>
        <a:lstStyle/>
        <a:p>
          <a:endParaRPr lang="en-US" sz="800">
            <a:latin typeface="Times New Roman" panose="02020603050405020304" pitchFamily="18" charset="0"/>
            <a:cs typeface="Times New Roman" panose="02020603050405020304" pitchFamily="18" charset="0"/>
          </a:endParaRPr>
        </a:p>
      </dgm:t>
    </dgm:pt>
    <dgm:pt modelId="{65EB422C-F1D3-4985-A61D-252683A994E5}" type="sibTrans" cxnId="{047B5950-955A-4E9C-890F-03A957F573F6}">
      <dgm:prSet/>
      <dgm:spPr/>
      <dgm:t>
        <a:bodyPr/>
        <a:lstStyle/>
        <a:p>
          <a:endParaRPr lang="en-US" sz="800">
            <a:latin typeface="Times New Roman" panose="02020603050405020304" pitchFamily="18" charset="0"/>
            <a:cs typeface="Times New Roman" panose="02020603050405020304" pitchFamily="18" charset="0"/>
          </a:endParaRPr>
        </a:p>
      </dgm:t>
    </dgm:pt>
    <dgm:pt modelId="{7323760A-CAC8-432D-A020-F77BFA77D735}" type="pres">
      <dgm:prSet presAssocID="{FF27429C-5B6E-468F-AF42-BE9281FF2A23}" presName="linear" presStyleCnt="0">
        <dgm:presLayoutVars>
          <dgm:dir/>
          <dgm:animLvl val="lvl"/>
          <dgm:resizeHandles val="exact"/>
        </dgm:presLayoutVars>
      </dgm:prSet>
      <dgm:spPr/>
    </dgm:pt>
    <dgm:pt modelId="{6E63B848-FDAE-4891-8566-8BE88B653316}" type="pres">
      <dgm:prSet presAssocID="{68DFCB13-F778-41C4-88A6-8A8793BBCF6B}" presName="parentLin" presStyleCnt="0"/>
      <dgm:spPr/>
    </dgm:pt>
    <dgm:pt modelId="{374EA5B0-C6AD-46BF-9645-7F0ED252FE66}" type="pres">
      <dgm:prSet presAssocID="{68DFCB13-F778-41C4-88A6-8A8793BBCF6B}" presName="parentLeftMargin" presStyleLbl="node1" presStyleIdx="0" presStyleCnt="1"/>
      <dgm:spPr/>
    </dgm:pt>
    <dgm:pt modelId="{377E1CD8-0067-463D-AA47-7581C029D7D4}" type="pres">
      <dgm:prSet presAssocID="{68DFCB13-F778-41C4-88A6-8A8793BBCF6B}" presName="parentText" presStyleLbl="node1" presStyleIdx="0" presStyleCnt="1" custScaleX="33793">
        <dgm:presLayoutVars>
          <dgm:chMax val="0"/>
          <dgm:bulletEnabled val="1"/>
        </dgm:presLayoutVars>
      </dgm:prSet>
      <dgm:spPr/>
    </dgm:pt>
    <dgm:pt modelId="{8C78493C-3C9C-4FDF-89DE-DDAC27488222}" type="pres">
      <dgm:prSet presAssocID="{68DFCB13-F778-41C4-88A6-8A8793BBCF6B}" presName="negativeSpace" presStyleCnt="0"/>
      <dgm:spPr/>
    </dgm:pt>
    <dgm:pt modelId="{1111B519-2F2F-4512-95FE-D2216303CCBE}" type="pres">
      <dgm:prSet presAssocID="{68DFCB13-F778-41C4-88A6-8A8793BBCF6B}" presName="childText" presStyleLbl="conFgAcc1" presStyleIdx="0" presStyleCnt="1">
        <dgm:presLayoutVars>
          <dgm:bulletEnabled val="1"/>
        </dgm:presLayoutVars>
      </dgm:prSet>
      <dgm:spPr/>
    </dgm:pt>
  </dgm:ptLst>
  <dgm:cxnLst>
    <dgm:cxn modelId="{2B97E307-DDDC-45DC-9CA7-632648FED3B9}" type="presOf" srcId="{01C29C0B-230A-4A2F-B7AB-59E88CC6B709}" destId="{1111B519-2F2F-4512-95FE-D2216303CCBE}" srcOrd="0" destOrd="0" presId="urn:microsoft.com/office/officeart/2005/8/layout/list1"/>
    <dgm:cxn modelId="{E9E7F310-CA62-40CB-950B-C2B09700E887}" type="presOf" srcId="{FF27429C-5B6E-468F-AF42-BE9281FF2A23}" destId="{7323760A-CAC8-432D-A020-F77BFA77D735}" srcOrd="0" destOrd="0" presId="urn:microsoft.com/office/officeart/2005/8/layout/list1"/>
    <dgm:cxn modelId="{9E117C35-F0A3-4260-AE5F-3261DFB7C6EE}" srcId="{FF27429C-5B6E-468F-AF42-BE9281FF2A23}" destId="{68DFCB13-F778-41C4-88A6-8A8793BBCF6B}" srcOrd="0" destOrd="0" parTransId="{55E528F8-5473-447A-B4D6-39039A5FF545}" sibTransId="{18C21111-088F-4CAC-A53E-A2F91EF73064}"/>
    <dgm:cxn modelId="{CF9E1A65-553C-4315-9B4D-6922C5CF2185}" type="presOf" srcId="{68DFCB13-F778-41C4-88A6-8A8793BBCF6B}" destId="{377E1CD8-0067-463D-AA47-7581C029D7D4}" srcOrd="1" destOrd="0" presId="urn:microsoft.com/office/officeart/2005/8/layout/list1"/>
    <dgm:cxn modelId="{047B5950-955A-4E9C-890F-03A957F573F6}" srcId="{68DFCB13-F778-41C4-88A6-8A8793BBCF6B}" destId="{01C29C0B-230A-4A2F-B7AB-59E88CC6B709}" srcOrd="0" destOrd="0" parTransId="{BD00C7DA-D115-4DC8-96E9-9A8238F85148}" sibTransId="{65EB422C-F1D3-4985-A61D-252683A994E5}"/>
    <dgm:cxn modelId="{3FDC437B-7FEB-4570-9F57-FAA88171B111}" type="presOf" srcId="{68DFCB13-F778-41C4-88A6-8A8793BBCF6B}" destId="{374EA5B0-C6AD-46BF-9645-7F0ED252FE66}" srcOrd="0" destOrd="0" presId="urn:microsoft.com/office/officeart/2005/8/layout/list1"/>
    <dgm:cxn modelId="{4BC55A49-751C-408F-B176-B7C4C361EF7E}" type="presParOf" srcId="{7323760A-CAC8-432D-A020-F77BFA77D735}" destId="{6E63B848-FDAE-4891-8566-8BE88B653316}" srcOrd="0" destOrd="0" presId="urn:microsoft.com/office/officeart/2005/8/layout/list1"/>
    <dgm:cxn modelId="{168861B8-2B13-4D21-A0A3-3DF5AA125F21}" type="presParOf" srcId="{6E63B848-FDAE-4891-8566-8BE88B653316}" destId="{374EA5B0-C6AD-46BF-9645-7F0ED252FE66}" srcOrd="0" destOrd="0" presId="urn:microsoft.com/office/officeart/2005/8/layout/list1"/>
    <dgm:cxn modelId="{FD713377-EE71-47D7-9EBD-4A34BD75CF63}" type="presParOf" srcId="{6E63B848-FDAE-4891-8566-8BE88B653316}" destId="{377E1CD8-0067-463D-AA47-7581C029D7D4}" srcOrd="1" destOrd="0" presId="urn:microsoft.com/office/officeart/2005/8/layout/list1"/>
    <dgm:cxn modelId="{855C1ABF-EE0E-4368-AAF2-7D3585E239A5}" type="presParOf" srcId="{7323760A-CAC8-432D-A020-F77BFA77D735}" destId="{8C78493C-3C9C-4FDF-89DE-DDAC27488222}" srcOrd="1" destOrd="0" presId="urn:microsoft.com/office/officeart/2005/8/layout/list1"/>
    <dgm:cxn modelId="{680373E2-88CE-4642-9587-481CCEFD2578}" type="presParOf" srcId="{7323760A-CAC8-432D-A020-F77BFA77D735}" destId="{1111B519-2F2F-4512-95FE-D2216303CCBE}" srcOrd="2" destOrd="0" presId="urn:microsoft.com/office/officeart/2005/8/layout/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F27429C-5B6E-468F-AF42-BE9281FF2A23}" type="doc">
      <dgm:prSet loTypeId="urn:microsoft.com/office/officeart/2005/8/layout/list1" loCatId="list" qsTypeId="urn:microsoft.com/office/officeart/2005/8/quickstyle/3d2" qsCatId="3D" csTypeId="urn:microsoft.com/office/officeart/2005/8/colors/accent1_2" csCatId="accent1" phldr="1"/>
      <dgm:spPr/>
      <dgm:t>
        <a:bodyPr/>
        <a:lstStyle/>
        <a:p>
          <a:endParaRPr lang="en-US"/>
        </a:p>
      </dgm:t>
    </dgm:pt>
    <dgm:pt modelId="{68DFCB13-F778-41C4-88A6-8A8793BBCF6B}">
      <dgm:prSet phldrT="[Texto]" custT="1"/>
      <dgm:spPr/>
      <dgm:t>
        <a:bodyPr/>
        <a:lstStyle/>
        <a:p>
          <a:r>
            <a:rPr lang="en-US" sz="1000">
              <a:latin typeface="Times New Roman" panose="02020603050405020304" pitchFamily="18" charset="0"/>
              <a:cs typeface="Times New Roman" panose="02020603050405020304" pitchFamily="18" charset="0"/>
            </a:rPr>
            <a:t>Nota Informativa</a:t>
          </a:r>
        </a:p>
      </dgm:t>
    </dgm:pt>
    <dgm:pt modelId="{55E528F8-5473-447A-B4D6-39039A5FF545}" type="parTrans" cxnId="{9E117C35-F0A3-4260-AE5F-3261DFB7C6EE}">
      <dgm:prSet/>
      <dgm:spPr/>
      <dgm:t>
        <a:bodyPr/>
        <a:lstStyle/>
        <a:p>
          <a:endParaRPr lang="en-US" sz="800">
            <a:latin typeface="Times New Roman" panose="02020603050405020304" pitchFamily="18" charset="0"/>
            <a:cs typeface="Times New Roman" panose="02020603050405020304" pitchFamily="18" charset="0"/>
          </a:endParaRPr>
        </a:p>
      </dgm:t>
    </dgm:pt>
    <dgm:pt modelId="{18C21111-088F-4CAC-A53E-A2F91EF73064}" type="sibTrans" cxnId="{9E117C35-F0A3-4260-AE5F-3261DFB7C6EE}">
      <dgm:prSet/>
      <dgm:spPr/>
      <dgm:t>
        <a:bodyPr/>
        <a:lstStyle/>
        <a:p>
          <a:endParaRPr lang="en-US" sz="800">
            <a:latin typeface="Times New Roman" panose="02020603050405020304" pitchFamily="18" charset="0"/>
            <a:cs typeface="Times New Roman" panose="02020603050405020304" pitchFamily="18" charset="0"/>
          </a:endParaRPr>
        </a:p>
      </dgm:t>
    </dgm:pt>
    <dgm:pt modelId="{01C29C0B-230A-4A2F-B7AB-59E88CC6B709}">
      <dgm:prSet phldrT="[Texto]" custT="1"/>
      <dgm:spPr/>
      <dgm:t>
        <a:bodyPr/>
        <a:lstStyle/>
        <a:p>
          <a:pPr algn="just"/>
          <a:r>
            <a:rPr lang="en-US" sz="1000">
              <a:latin typeface="Times New Roman" panose="02020603050405020304" pitchFamily="18" charset="0"/>
              <a:cs typeface="Times New Roman" panose="02020603050405020304" pitchFamily="18" charset="0"/>
            </a:rPr>
            <a:t>Las "Erogaciones" poseen cierta similitud conceptual a lo que en la metodología nacional se entiende por gasto, sin embargo, poseen algunas diferencias leves. </a:t>
          </a:r>
          <a:r>
            <a:rPr lang="en-US" sz="1000" b="1">
              <a:latin typeface="Times New Roman" panose="02020603050405020304" pitchFamily="18" charset="0"/>
              <a:cs typeface="Times New Roman" panose="02020603050405020304" pitchFamily="18" charset="0"/>
            </a:rPr>
            <a:t>En </a:t>
          </a:r>
          <a:r>
            <a:rPr lang="en-US" sz="1000" b="1">
              <a:solidFill>
                <a:sysClr val="windowText" lastClr="000000"/>
              </a:solidFill>
              <a:latin typeface="Times New Roman" panose="02020603050405020304" pitchFamily="18" charset="0"/>
              <a:cs typeface="Times New Roman" panose="02020603050405020304" pitchFamily="18" charset="0"/>
            </a:rPr>
            <a:t>los </a:t>
          </a:r>
          <a:r>
            <a:rPr lang="en-US" sz="1000" b="1" strike="noStrike">
              <a:solidFill>
                <a:sysClr val="windowText" lastClr="000000"/>
              </a:solidFill>
              <a:latin typeface="Times New Roman" panose="02020603050405020304" pitchFamily="18" charset="0"/>
              <a:cs typeface="Times New Roman" panose="02020603050405020304" pitchFamily="18" charset="0"/>
            </a:rPr>
            <a:t>estándares</a:t>
          </a:r>
          <a:r>
            <a:rPr lang="en-US" sz="1000" b="1">
              <a:solidFill>
                <a:sysClr val="windowText" lastClr="000000"/>
              </a:solidFill>
              <a:latin typeface="Times New Roman" panose="02020603050405020304" pitchFamily="18" charset="0"/>
              <a:cs typeface="Times New Roman" panose="02020603050405020304" pitchFamily="18" charset="0"/>
            </a:rPr>
            <a:t> internacionales, una erogación es la suma de los gastos y la inversión neta en activos </a:t>
          </a:r>
          <a:r>
            <a:rPr lang="en-US" sz="1000" b="1">
              <a:latin typeface="Times New Roman" panose="02020603050405020304" pitchFamily="18" charset="0"/>
              <a:cs typeface="Times New Roman" panose="02020603050405020304" pitchFamily="18" charset="0"/>
            </a:rPr>
            <a:t>no financieros (MEFP 2014) </a:t>
          </a:r>
        </a:p>
      </dgm:t>
    </dgm:pt>
    <dgm:pt modelId="{BD00C7DA-D115-4DC8-96E9-9A8238F85148}" type="parTrans" cxnId="{047B5950-955A-4E9C-890F-03A957F573F6}">
      <dgm:prSet/>
      <dgm:spPr/>
      <dgm:t>
        <a:bodyPr/>
        <a:lstStyle/>
        <a:p>
          <a:endParaRPr lang="en-US" sz="800">
            <a:latin typeface="Times New Roman" panose="02020603050405020304" pitchFamily="18" charset="0"/>
            <a:cs typeface="Times New Roman" panose="02020603050405020304" pitchFamily="18" charset="0"/>
          </a:endParaRPr>
        </a:p>
      </dgm:t>
    </dgm:pt>
    <dgm:pt modelId="{65EB422C-F1D3-4985-A61D-252683A994E5}" type="sibTrans" cxnId="{047B5950-955A-4E9C-890F-03A957F573F6}">
      <dgm:prSet/>
      <dgm:spPr/>
      <dgm:t>
        <a:bodyPr/>
        <a:lstStyle/>
        <a:p>
          <a:endParaRPr lang="en-US" sz="800">
            <a:latin typeface="Times New Roman" panose="02020603050405020304" pitchFamily="18" charset="0"/>
            <a:cs typeface="Times New Roman" panose="02020603050405020304" pitchFamily="18" charset="0"/>
          </a:endParaRPr>
        </a:p>
      </dgm:t>
    </dgm:pt>
    <dgm:pt modelId="{7323760A-CAC8-432D-A020-F77BFA77D735}" type="pres">
      <dgm:prSet presAssocID="{FF27429C-5B6E-468F-AF42-BE9281FF2A23}" presName="linear" presStyleCnt="0">
        <dgm:presLayoutVars>
          <dgm:dir/>
          <dgm:animLvl val="lvl"/>
          <dgm:resizeHandles val="exact"/>
        </dgm:presLayoutVars>
      </dgm:prSet>
      <dgm:spPr/>
    </dgm:pt>
    <dgm:pt modelId="{6E63B848-FDAE-4891-8566-8BE88B653316}" type="pres">
      <dgm:prSet presAssocID="{68DFCB13-F778-41C4-88A6-8A8793BBCF6B}" presName="parentLin" presStyleCnt="0"/>
      <dgm:spPr/>
    </dgm:pt>
    <dgm:pt modelId="{374EA5B0-C6AD-46BF-9645-7F0ED252FE66}" type="pres">
      <dgm:prSet presAssocID="{68DFCB13-F778-41C4-88A6-8A8793BBCF6B}" presName="parentLeftMargin" presStyleLbl="node1" presStyleIdx="0" presStyleCnt="1"/>
      <dgm:spPr/>
    </dgm:pt>
    <dgm:pt modelId="{377E1CD8-0067-463D-AA47-7581C029D7D4}" type="pres">
      <dgm:prSet presAssocID="{68DFCB13-F778-41C4-88A6-8A8793BBCF6B}" presName="parentText" presStyleLbl="node1" presStyleIdx="0" presStyleCnt="1" custScaleX="33793">
        <dgm:presLayoutVars>
          <dgm:chMax val="0"/>
          <dgm:bulletEnabled val="1"/>
        </dgm:presLayoutVars>
      </dgm:prSet>
      <dgm:spPr/>
    </dgm:pt>
    <dgm:pt modelId="{8C78493C-3C9C-4FDF-89DE-DDAC27488222}" type="pres">
      <dgm:prSet presAssocID="{68DFCB13-F778-41C4-88A6-8A8793BBCF6B}" presName="negativeSpace" presStyleCnt="0"/>
      <dgm:spPr/>
    </dgm:pt>
    <dgm:pt modelId="{1111B519-2F2F-4512-95FE-D2216303CCBE}" type="pres">
      <dgm:prSet presAssocID="{68DFCB13-F778-41C4-88A6-8A8793BBCF6B}" presName="childText" presStyleLbl="conFgAcc1" presStyleIdx="0" presStyleCnt="1">
        <dgm:presLayoutVars>
          <dgm:bulletEnabled val="1"/>
        </dgm:presLayoutVars>
      </dgm:prSet>
      <dgm:spPr/>
    </dgm:pt>
  </dgm:ptLst>
  <dgm:cxnLst>
    <dgm:cxn modelId="{2B97E307-DDDC-45DC-9CA7-632648FED3B9}" type="presOf" srcId="{01C29C0B-230A-4A2F-B7AB-59E88CC6B709}" destId="{1111B519-2F2F-4512-95FE-D2216303CCBE}" srcOrd="0" destOrd="0" presId="urn:microsoft.com/office/officeart/2005/8/layout/list1"/>
    <dgm:cxn modelId="{E9E7F310-CA62-40CB-950B-C2B09700E887}" type="presOf" srcId="{FF27429C-5B6E-468F-AF42-BE9281FF2A23}" destId="{7323760A-CAC8-432D-A020-F77BFA77D735}" srcOrd="0" destOrd="0" presId="urn:microsoft.com/office/officeart/2005/8/layout/list1"/>
    <dgm:cxn modelId="{9E117C35-F0A3-4260-AE5F-3261DFB7C6EE}" srcId="{FF27429C-5B6E-468F-AF42-BE9281FF2A23}" destId="{68DFCB13-F778-41C4-88A6-8A8793BBCF6B}" srcOrd="0" destOrd="0" parTransId="{55E528F8-5473-447A-B4D6-39039A5FF545}" sibTransId="{18C21111-088F-4CAC-A53E-A2F91EF73064}"/>
    <dgm:cxn modelId="{CF9E1A65-553C-4315-9B4D-6922C5CF2185}" type="presOf" srcId="{68DFCB13-F778-41C4-88A6-8A8793BBCF6B}" destId="{377E1CD8-0067-463D-AA47-7581C029D7D4}" srcOrd="1" destOrd="0" presId="urn:microsoft.com/office/officeart/2005/8/layout/list1"/>
    <dgm:cxn modelId="{047B5950-955A-4E9C-890F-03A957F573F6}" srcId="{68DFCB13-F778-41C4-88A6-8A8793BBCF6B}" destId="{01C29C0B-230A-4A2F-B7AB-59E88CC6B709}" srcOrd="0" destOrd="0" parTransId="{BD00C7DA-D115-4DC8-96E9-9A8238F85148}" sibTransId="{65EB422C-F1D3-4985-A61D-252683A994E5}"/>
    <dgm:cxn modelId="{3FDC437B-7FEB-4570-9F57-FAA88171B111}" type="presOf" srcId="{68DFCB13-F778-41C4-88A6-8A8793BBCF6B}" destId="{374EA5B0-C6AD-46BF-9645-7F0ED252FE66}" srcOrd="0" destOrd="0" presId="urn:microsoft.com/office/officeart/2005/8/layout/list1"/>
    <dgm:cxn modelId="{4BC55A49-751C-408F-B176-B7C4C361EF7E}" type="presParOf" srcId="{7323760A-CAC8-432D-A020-F77BFA77D735}" destId="{6E63B848-FDAE-4891-8566-8BE88B653316}" srcOrd="0" destOrd="0" presId="urn:microsoft.com/office/officeart/2005/8/layout/list1"/>
    <dgm:cxn modelId="{168861B8-2B13-4D21-A0A3-3DF5AA125F21}" type="presParOf" srcId="{6E63B848-FDAE-4891-8566-8BE88B653316}" destId="{374EA5B0-C6AD-46BF-9645-7F0ED252FE66}" srcOrd="0" destOrd="0" presId="urn:microsoft.com/office/officeart/2005/8/layout/list1"/>
    <dgm:cxn modelId="{FD713377-EE71-47D7-9EBD-4A34BD75CF63}" type="presParOf" srcId="{6E63B848-FDAE-4891-8566-8BE88B653316}" destId="{377E1CD8-0067-463D-AA47-7581C029D7D4}" srcOrd="1" destOrd="0" presId="urn:microsoft.com/office/officeart/2005/8/layout/list1"/>
    <dgm:cxn modelId="{855C1ABF-EE0E-4368-AAF2-7D3585E239A5}" type="presParOf" srcId="{7323760A-CAC8-432D-A020-F77BFA77D735}" destId="{8C78493C-3C9C-4FDF-89DE-DDAC27488222}" srcOrd="1" destOrd="0" presId="urn:microsoft.com/office/officeart/2005/8/layout/list1"/>
    <dgm:cxn modelId="{680373E2-88CE-4642-9587-481CCEFD2578}" type="presParOf" srcId="{7323760A-CAC8-432D-A020-F77BFA77D735}" destId="{1111B519-2F2F-4512-95FE-D2216303CCBE}" srcOrd="2" destOrd="0" presId="urn:microsoft.com/office/officeart/2005/8/layout/lis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F27429C-5B6E-468F-AF42-BE9281FF2A23}" type="doc">
      <dgm:prSet loTypeId="urn:microsoft.com/office/officeart/2005/8/layout/list1" loCatId="list" qsTypeId="urn:microsoft.com/office/officeart/2005/8/quickstyle/3d2" qsCatId="3D" csTypeId="urn:microsoft.com/office/officeart/2005/8/colors/accent1_2" csCatId="accent1" phldr="1"/>
      <dgm:spPr/>
      <dgm:t>
        <a:bodyPr/>
        <a:lstStyle/>
        <a:p>
          <a:endParaRPr lang="en-US"/>
        </a:p>
      </dgm:t>
    </dgm:pt>
    <dgm:pt modelId="{68DFCB13-F778-41C4-88A6-8A8793BBCF6B}">
      <dgm:prSet phldrT="[Texto]" custT="1"/>
      <dgm:spPr/>
      <dgm:t>
        <a:bodyPr/>
        <a:lstStyle/>
        <a:p>
          <a:r>
            <a:rPr lang="en-US" sz="1000">
              <a:latin typeface="Times New Roman" panose="02020603050405020304" pitchFamily="18" charset="0"/>
              <a:cs typeface="Times New Roman" panose="02020603050405020304" pitchFamily="18" charset="0"/>
            </a:rPr>
            <a:t>Nota Informativa</a:t>
          </a:r>
        </a:p>
      </dgm:t>
    </dgm:pt>
    <dgm:pt modelId="{55E528F8-5473-447A-B4D6-39039A5FF545}" type="parTrans" cxnId="{9E117C35-F0A3-4260-AE5F-3261DFB7C6EE}">
      <dgm:prSet/>
      <dgm:spPr/>
      <dgm:t>
        <a:bodyPr/>
        <a:lstStyle/>
        <a:p>
          <a:endParaRPr lang="en-US" sz="800">
            <a:latin typeface="Times New Roman" panose="02020603050405020304" pitchFamily="18" charset="0"/>
            <a:cs typeface="Times New Roman" panose="02020603050405020304" pitchFamily="18" charset="0"/>
          </a:endParaRPr>
        </a:p>
      </dgm:t>
    </dgm:pt>
    <dgm:pt modelId="{18C21111-088F-4CAC-A53E-A2F91EF73064}" type="sibTrans" cxnId="{9E117C35-F0A3-4260-AE5F-3261DFB7C6EE}">
      <dgm:prSet/>
      <dgm:spPr/>
      <dgm:t>
        <a:bodyPr/>
        <a:lstStyle/>
        <a:p>
          <a:endParaRPr lang="en-US" sz="800">
            <a:latin typeface="Times New Roman" panose="02020603050405020304" pitchFamily="18" charset="0"/>
            <a:cs typeface="Times New Roman" panose="02020603050405020304" pitchFamily="18" charset="0"/>
          </a:endParaRPr>
        </a:p>
      </dgm:t>
    </dgm:pt>
    <dgm:pt modelId="{01C29C0B-230A-4A2F-B7AB-59E88CC6B709}">
      <dgm:prSet phldrT="[Texto]" custT="1"/>
      <dgm:spPr/>
      <dgm:t>
        <a:bodyPr/>
        <a:lstStyle/>
        <a:p>
          <a:pPr algn="just"/>
          <a:r>
            <a:rPr lang="en-US" sz="1000">
              <a:latin typeface="Times New Roman" panose="02020603050405020304" pitchFamily="18" charset="0"/>
              <a:cs typeface="Times New Roman" panose="02020603050405020304" pitchFamily="18" charset="0"/>
            </a:rPr>
            <a:t>Existe una diferencia importante entre el concepto de resultado fiscal con metodología nacional y los </a:t>
          </a:r>
          <a:r>
            <a:rPr lang="en-US" sz="1000">
              <a:solidFill>
                <a:sysClr val="windowText" lastClr="000000"/>
              </a:solidFill>
              <a:latin typeface="Times New Roman" panose="02020603050405020304" pitchFamily="18" charset="0"/>
              <a:cs typeface="Times New Roman" panose="02020603050405020304" pitchFamily="18" charset="0"/>
            </a:rPr>
            <a:t>estándares internacionales, lo cual </a:t>
          </a:r>
          <a:r>
            <a:rPr lang="en-US" sz="1000">
              <a:latin typeface="Times New Roman" panose="02020603050405020304" pitchFamily="18" charset="0"/>
              <a:cs typeface="Times New Roman" panose="02020603050405020304" pitchFamily="18" charset="0"/>
            </a:rPr>
            <a:t>hace que estos no sean perfectamente comparables. </a:t>
          </a:r>
          <a:r>
            <a:rPr lang="en-US" sz="1000" b="1">
              <a:latin typeface="Times New Roman" panose="02020603050405020304" pitchFamily="18" charset="0"/>
              <a:cs typeface="Times New Roman" panose="02020603050405020304" pitchFamily="18" charset="0"/>
            </a:rPr>
            <a:t>En los </a:t>
          </a:r>
          <a:r>
            <a:rPr lang="en-US" sz="1000" b="1" strike="noStrike">
              <a:solidFill>
                <a:sysClr val="windowText" lastClr="000000"/>
              </a:solidFill>
              <a:latin typeface="Times New Roman" panose="02020603050405020304" pitchFamily="18" charset="0"/>
              <a:cs typeface="Times New Roman" panose="02020603050405020304" pitchFamily="18" charset="0"/>
            </a:rPr>
            <a:t>estándares</a:t>
          </a:r>
          <a:r>
            <a:rPr lang="en-US" sz="1000" b="1">
              <a:latin typeface="Times New Roman" panose="02020603050405020304" pitchFamily="18" charset="0"/>
              <a:cs typeface="Times New Roman" panose="02020603050405020304" pitchFamily="18" charset="0"/>
            </a:rPr>
            <a:t> internacionales existen los siguientes indicadores fiscales:</a:t>
          </a:r>
        </a:p>
      </dgm:t>
    </dgm:pt>
    <dgm:pt modelId="{BD00C7DA-D115-4DC8-96E9-9A8238F85148}" type="parTrans" cxnId="{047B5950-955A-4E9C-890F-03A957F573F6}">
      <dgm:prSet/>
      <dgm:spPr/>
      <dgm:t>
        <a:bodyPr/>
        <a:lstStyle/>
        <a:p>
          <a:endParaRPr lang="en-US" sz="800">
            <a:latin typeface="Times New Roman" panose="02020603050405020304" pitchFamily="18" charset="0"/>
            <a:cs typeface="Times New Roman" panose="02020603050405020304" pitchFamily="18" charset="0"/>
          </a:endParaRPr>
        </a:p>
      </dgm:t>
    </dgm:pt>
    <dgm:pt modelId="{65EB422C-F1D3-4985-A61D-252683A994E5}" type="sibTrans" cxnId="{047B5950-955A-4E9C-890F-03A957F573F6}">
      <dgm:prSet/>
      <dgm:spPr/>
      <dgm:t>
        <a:bodyPr/>
        <a:lstStyle/>
        <a:p>
          <a:endParaRPr lang="en-US" sz="800">
            <a:latin typeface="Times New Roman" panose="02020603050405020304" pitchFamily="18" charset="0"/>
            <a:cs typeface="Times New Roman" panose="02020603050405020304" pitchFamily="18" charset="0"/>
          </a:endParaRPr>
        </a:p>
      </dgm:t>
    </dgm:pt>
    <dgm:pt modelId="{C3D409E7-6B38-4B8B-8222-44C703F58D92}">
      <dgm:prSet phldrT="[Texto]" custT="1"/>
      <dgm:spPr/>
      <dgm:t>
        <a:bodyPr/>
        <a:lstStyle/>
        <a:p>
          <a:pPr algn="just"/>
          <a:r>
            <a:rPr lang="en-US" sz="1000" b="1">
              <a:latin typeface="Times New Roman" panose="02020603050405020304" pitchFamily="18" charset="0"/>
              <a:cs typeface="Times New Roman" panose="02020603050405020304" pitchFamily="18" charset="0"/>
            </a:rPr>
            <a:t> 1.) Resultado Operativo Neto (NOB) = </a:t>
          </a:r>
          <a:r>
            <a:rPr lang="en-US" sz="1000" b="0">
              <a:latin typeface="Times New Roman" panose="02020603050405020304" pitchFamily="18" charset="0"/>
              <a:cs typeface="Times New Roman" panose="02020603050405020304" pitchFamily="18" charset="0"/>
            </a:rPr>
            <a:t>Ingresos - Gastos</a:t>
          </a:r>
        </a:p>
      </dgm:t>
    </dgm:pt>
    <dgm:pt modelId="{35E9F9E2-37BD-42CA-AB3F-4201DA8C5649}" type="parTrans" cxnId="{D2A05A42-79FB-4963-8B17-BF9A6786808F}">
      <dgm:prSet/>
      <dgm:spPr/>
      <dgm:t>
        <a:bodyPr/>
        <a:lstStyle/>
        <a:p>
          <a:endParaRPr lang="en-US"/>
        </a:p>
      </dgm:t>
    </dgm:pt>
    <dgm:pt modelId="{AC2A3F50-B651-4C05-9C8B-A8F890A72D73}" type="sibTrans" cxnId="{D2A05A42-79FB-4963-8B17-BF9A6786808F}">
      <dgm:prSet/>
      <dgm:spPr/>
      <dgm:t>
        <a:bodyPr/>
        <a:lstStyle/>
        <a:p>
          <a:endParaRPr lang="en-US"/>
        </a:p>
      </dgm:t>
    </dgm:pt>
    <dgm:pt modelId="{3CF91B55-1F75-4C87-9C67-A20C9FA05662}">
      <dgm:prSet phldrT="[Texto]" custT="1"/>
      <dgm:spPr/>
      <dgm:t>
        <a:bodyPr/>
        <a:lstStyle/>
        <a:p>
          <a:pPr algn="just"/>
          <a:r>
            <a:rPr lang="en-US" sz="1000" b="1">
              <a:latin typeface="Times New Roman" panose="02020603050405020304" pitchFamily="18" charset="0"/>
              <a:cs typeface="Times New Roman" panose="02020603050405020304" pitchFamily="18" charset="0"/>
            </a:rPr>
            <a:t> 2.) Resultado Operativo Bruto (GOB) = </a:t>
          </a:r>
          <a:r>
            <a:rPr lang="en-US" sz="1000" b="0">
              <a:latin typeface="Times New Roman" panose="02020603050405020304" pitchFamily="18" charset="0"/>
              <a:cs typeface="Times New Roman" panose="02020603050405020304" pitchFamily="18" charset="0"/>
            </a:rPr>
            <a:t>Ingresos - Gastos + Consumo de capital fijo</a:t>
          </a:r>
        </a:p>
      </dgm:t>
    </dgm:pt>
    <dgm:pt modelId="{D8385961-8EAF-45B4-BEDD-9F02F740FFF8}" type="parTrans" cxnId="{3B646E4E-A757-43B0-9D09-BAE2E05E5ACA}">
      <dgm:prSet/>
      <dgm:spPr/>
      <dgm:t>
        <a:bodyPr/>
        <a:lstStyle/>
        <a:p>
          <a:endParaRPr lang="en-US"/>
        </a:p>
      </dgm:t>
    </dgm:pt>
    <dgm:pt modelId="{3B565E79-6F22-4474-B8A9-856B312682A2}" type="sibTrans" cxnId="{3B646E4E-A757-43B0-9D09-BAE2E05E5ACA}">
      <dgm:prSet/>
      <dgm:spPr/>
      <dgm:t>
        <a:bodyPr/>
        <a:lstStyle/>
        <a:p>
          <a:endParaRPr lang="en-US"/>
        </a:p>
      </dgm:t>
    </dgm:pt>
    <dgm:pt modelId="{DDD57492-28E1-4534-8544-AE4C4F54393E}">
      <dgm:prSet phldrT="[Texto]" custT="1"/>
      <dgm:spPr/>
      <dgm:t>
        <a:bodyPr/>
        <a:lstStyle/>
        <a:p>
          <a:pPr algn="just"/>
          <a:r>
            <a:rPr lang="en-US" sz="1000" b="1">
              <a:latin typeface="Times New Roman" panose="02020603050405020304" pitchFamily="18" charset="0"/>
              <a:cs typeface="Times New Roman" panose="02020603050405020304" pitchFamily="18" charset="0"/>
            </a:rPr>
            <a:t> 3.) P</a:t>
          </a:r>
          <a:r>
            <a:rPr lang="en-US" sz="1000" b="1">
              <a:solidFill>
                <a:sysClr val="windowText" lastClr="000000"/>
              </a:solidFill>
              <a:latin typeface="Times New Roman" panose="02020603050405020304" pitchFamily="18" charset="0"/>
              <a:cs typeface="Times New Roman" panose="02020603050405020304" pitchFamily="18" charset="0"/>
            </a:rPr>
            <a:t>réstamo </a:t>
          </a:r>
          <a:r>
            <a:rPr lang="en-US" sz="1000" b="1">
              <a:latin typeface="Times New Roman" panose="02020603050405020304" pitchFamily="18" charset="0"/>
              <a:cs typeface="Times New Roman" panose="02020603050405020304" pitchFamily="18" charset="0"/>
            </a:rPr>
            <a:t>o Endeudamiento Neto (NLB) = </a:t>
          </a:r>
          <a:r>
            <a:rPr lang="en-US" sz="1000" b="0">
              <a:latin typeface="Times New Roman" panose="02020603050405020304" pitchFamily="18" charset="0"/>
              <a:cs typeface="Times New Roman" panose="02020603050405020304" pitchFamily="18" charset="0"/>
            </a:rPr>
            <a:t>NOB - Inversión Neta en Activos no financieros</a:t>
          </a:r>
        </a:p>
      </dgm:t>
    </dgm:pt>
    <dgm:pt modelId="{F4E1C6EE-CD86-4051-8C91-50C764FC2B3C}" type="parTrans" cxnId="{804E552C-050E-4FE3-9A89-FA56FE6F04DB}">
      <dgm:prSet/>
      <dgm:spPr/>
      <dgm:t>
        <a:bodyPr/>
        <a:lstStyle/>
        <a:p>
          <a:endParaRPr lang="en-US"/>
        </a:p>
      </dgm:t>
    </dgm:pt>
    <dgm:pt modelId="{810108D9-3C67-4E9B-A016-62224098F996}" type="sibTrans" cxnId="{804E552C-050E-4FE3-9A89-FA56FE6F04DB}">
      <dgm:prSet/>
      <dgm:spPr/>
      <dgm:t>
        <a:bodyPr/>
        <a:lstStyle/>
        <a:p>
          <a:endParaRPr lang="en-US"/>
        </a:p>
      </dgm:t>
    </dgm:pt>
    <dgm:pt modelId="{B3BD5EE0-8B02-47DD-9A82-259B22A65496}">
      <dgm:prSet phldrT="[Texto]" custT="1"/>
      <dgm:spPr/>
      <dgm:t>
        <a:bodyPr/>
        <a:lstStyle/>
        <a:p>
          <a:pPr algn="l"/>
          <a:endParaRPr lang="en-US" sz="1000" b="1">
            <a:latin typeface="Times New Roman" panose="02020603050405020304" pitchFamily="18" charset="0"/>
            <a:cs typeface="Times New Roman" panose="02020603050405020304" pitchFamily="18" charset="0"/>
          </a:endParaRPr>
        </a:p>
      </dgm:t>
    </dgm:pt>
    <dgm:pt modelId="{C5714091-2FD7-45AB-996F-8D909E729D08}" type="parTrans" cxnId="{46B5D4E3-A1B8-446E-BF94-1D1B608BD025}">
      <dgm:prSet/>
      <dgm:spPr/>
      <dgm:t>
        <a:bodyPr/>
        <a:lstStyle/>
        <a:p>
          <a:endParaRPr lang="en-US"/>
        </a:p>
      </dgm:t>
    </dgm:pt>
    <dgm:pt modelId="{0927F4C2-33AC-47BA-87B1-9849DE2EA647}" type="sibTrans" cxnId="{46B5D4E3-A1B8-446E-BF94-1D1B608BD025}">
      <dgm:prSet/>
      <dgm:spPr/>
      <dgm:t>
        <a:bodyPr/>
        <a:lstStyle/>
        <a:p>
          <a:endParaRPr lang="en-US"/>
        </a:p>
      </dgm:t>
    </dgm:pt>
    <dgm:pt modelId="{8A074394-24C9-4417-B175-5B020C5132EE}">
      <dgm:prSet phldrT="[Texto]" custT="1"/>
      <dgm:spPr/>
      <dgm:t>
        <a:bodyPr/>
        <a:lstStyle/>
        <a:p>
          <a:pPr algn="l"/>
          <a:endParaRPr lang="en-US" sz="1000" b="1">
            <a:latin typeface="Times New Roman" panose="02020603050405020304" pitchFamily="18" charset="0"/>
            <a:cs typeface="Times New Roman" panose="02020603050405020304" pitchFamily="18" charset="0"/>
          </a:endParaRPr>
        </a:p>
      </dgm:t>
    </dgm:pt>
    <dgm:pt modelId="{DCE292B1-DDE6-4D66-AF9B-D8F09CB2C44B}" type="parTrans" cxnId="{DAA46AD6-6800-4619-A2CB-499FD1424CD7}">
      <dgm:prSet/>
      <dgm:spPr/>
      <dgm:t>
        <a:bodyPr/>
        <a:lstStyle/>
        <a:p>
          <a:endParaRPr lang="en-US"/>
        </a:p>
      </dgm:t>
    </dgm:pt>
    <dgm:pt modelId="{BB78CF32-946E-44D8-A2CB-37AAD43DE337}" type="sibTrans" cxnId="{DAA46AD6-6800-4619-A2CB-499FD1424CD7}">
      <dgm:prSet/>
      <dgm:spPr/>
      <dgm:t>
        <a:bodyPr/>
        <a:lstStyle/>
        <a:p>
          <a:endParaRPr lang="en-US"/>
        </a:p>
      </dgm:t>
    </dgm:pt>
    <dgm:pt modelId="{6F8CBEB5-BD00-46A8-8598-53DD15BC0D05}">
      <dgm:prSet phldrT="[Texto]" custT="1"/>
      <dgm:spPr/>
      <dgm:t>
        <a:bodyPr/>
        <a:lstStyle/>
        <a:p>
          <a:pPr algn="just"/>
          <a:r>
            <a:rPr lang="en-US" sz="1000" b="1">
              <a:latin typeface="Times New Roman" panose="02020603050405020304" pitchFamily="18" charset="0"/>
              <a:cs typeface="Times New Roman" panose="02020603050405020304" pitchFamily="18" charset="0"/>
            </a:rPr>
            <a:t>El NOB equivale a las variaciones en el patrimonio neto derivado a transacciones mientras que el NLB también equivale al financiamiento total (MEFP 2014)</a:t>
          </a:r>
        </a:p>
      </dgm:t>
    </dgm:pt>
    <dgm:pt modelId="{A6EB8F4D-3D4D-468C-8830-DEA557649AF4}" type="parTrans" cxnId="{62A354C5-3414-40BA-AD2A-45FD81C86CE9}">
      <dgm:prSet/>
      <dgm:spPr/>
      <dgm:t>
        <a:bodyPr/>
        <a:lstStyle/>
        <a:p>
          <a:endParaRPr lang="en-US"/>
        </a:p>
      </dgm:t>
    </dgm:pt>
    <dgm:pt modelId="{0628C494-8642-43D7-B0AB-7759DCBF2D72}" type="sibTrans" cxnId="{62A354C5-3414-40BA-AD2A-45FD81C86CE9}">
      <dgm:prSet/>
      <dgm:spPr/>
      <dgm:t>
        <a:bodyPr/>
        <a:lstStyle/>
        <a:p>
          <a:endParaRPr lang="en-US"/>
        </a:p>
      </dgm:t>
    </dgm:pt>
    <dgm:pt modelId="{F66DA131-6178-426C-B996-591DEB09B7CB}">
      <dgm:prSet phldrT="[Texto]" custT="1"/>
      <dgm:spPr/>
      <dgm:t>
        <a:bodyPr/>
        <a:lstStyle/>
        <a:p>
          <a:pPr algn="just"/>
          <a:endParaRPr lang="en-US" sz="1000" b="0">
            <a:latin typeface="Times New Roman" panose="02020603050405020304" pitchFamily="18" charset="0"/>
            <a:cs typeface="Times New Roman" panose="02020603050405020304" pitchFamily="18" charset="0"/>
          </a:endParaRPr>
        </a:p>
      </dgm:t>
    </dgm:pt>
    <dgm:pt modelId="{CEF9C5CB-6317-4711-B2DE-3942A095800E}" type="parTrans" cxnId="{85A2A9D1-776F-461B-B5DF-FAD4A3C4D680}">
      <dgm:prSet/>
      <dgm:spPr/>
      <dgm:t>
        <a:bodyPr/>
        <a:lstStyle/>
        <a:p>
          <a:endParaRPr lang="en-US"/>
        </a:p>
      </dgm:t>
    </dgm:pt>
    <dgm:pt modelId="{FC3858C3-5945-430C-BB96-A050D5CEC46F}" type="sibTrans" cxnId="{85A2A9D1-776F-461B-B5DF-FAD4A3C4D680}">
      <dgm:prSet/>
      <dgm:spPr/>
      <dgm:t>
        <a:bodyPr/>
        <a:lstStyle/>
        <a:p>
          <a:endParaRPr lang="en-US"/>
        </a:p>
      </dgm:t>
    </dgm:pt>
    <dgm:pt modelId="{453A4B04-F76E-490B-8F74-F2CEC3B8BB19}">
      <dgm:prSet phldrT="[Texto]" custT="1"/>
      <dgm:spPr/>
      <dgm:t>
        <a:bodyPr/>
        <a:lstStyle/>
        <a:p>
          <a:pPr algn="just"/>
          <a:endParaRPr lang="en-US" sz="1000" b="1">
            <a:latin typeface="Times New Roman" panose="02020603050405020304" pitchFamily="18" charset="0"/>
            <a:cs typeface="Times New Roman" panose="02020603050405020304" pitchFamily="18" charset="0"/>
          </a:endParaRPr>
        </a:p>
      </dgm:t>
    </dgm:pt>
    <dgm:pt modelId="{E8616642-9216-43BC-85CB-23782D39B7D5}" type="parTrans" cxnId="{E97BC17C-ACE4-4BB7-BC2E-2E60E6AEC07C}">
      <dgm:prSet/>
      <dgm:spPr/>
      <dgm:t>
        <a:bodyPr/>
        <a:lstStyle/>
        <a:p>
          <a:endParaRPr lang="es-GT"/>
        </a:p>
      </dgm:t>
    </dgm:pt>
    <dgm:pt modelId="{0C3A3D81-03D4-41F0-9DDD-F21090510B7A}" type="sibTrans" cxnId="{E97BC17C-ACE4-4BB7-BC2E-2E60E6AEC07C}">
      <dgm:prSet/>
      <dgm:spPr/>
      <dgm:t>
        <a:bodyPr/>
        <a:lstStyle/>
        <a:p>
          <a:endParaRPr lang="es-GT"/>
        </a:p>
      </dgm:t>
    </dgm:pt>
    <dgm:pt modelId="{7323760A-CAC8-432D-A020-F77BFA77D735}" type="pres">
      <dgm:prSet presAssocID="{FF27429C-5B6E-468F-AF42-BE9281FF2A23}" presName="linear" presStyleCnt="0">
        <dgm:presLayoutVars>
          <dgm:dir/>
          <dgm:animLvl val="lvl"/>
          <dgm:resizeHandles val="exact"/>
        </dgm:presLayoutVars>
      </dgm:prSet>
      <dgm:spPr/>
    </dgm:pt>
    <dgm:pt modelId="{6E63B848-FDAE-4891-8566-8BE88B653316}" type="pres">
      <dgm:prSet presAssocID="{68DFCB13-F778-41C4-88A6-8A8793BBCF6B}" presName="parentLin" presStyleCnt="0"/>
      <dgm:spPr/>
    </dgm:pt>
    <dgm:pt modelId="{374EA5B0-C6AD-46BF-9645-7F0ED252FE66}" type="pres">
      <dgm:prSet presAssocID="{68DFCB13-F778-41C4-88A6-8A8793BBCF6B}" presName="parentLeftMargin" presStyleLbl="node1" presStyleIdx="0" presStyleCnt="1"/>
      <dgm:spPr/>
    </dgm:pt>
    <dgm:pt modelId="{377E1CD8-0067-463D-AA47-7581C029D7D4}" type="pres">
      <dgm:prSet presAssocID="{68DFCB13-F778-41C4-88A6-8A8793BBCF6B}" presName="parentText" presStyleLbl="node1" presStyleIdx="0" presStyleCnt="1" custScaleX="33793">
        <dgm:presLayoutVars>
          <dgm:chMax val="0"/>
          <dgm:bulletEnabled val="1"/>
        </dgm:presLayoutVars>
      </dgm:prSet>
      <dgm:spPr/>
    </dgm:pt>
    <dgm:pt modelId="{8C78493C-3C9C-4FDF-89DE-DDAC27488222}" type="pres">
      <dgm:prSet presAssocID="{68DFCB13-F778-41C4-88A6-8A8793BBCF6B}" presName="negativeSpace" presStyleCnt="0"/>
      <dgm:spPr/>
    </dgm:pt>
    <dgm:pt modelId="{1111B519-2F2F-4512-95FE-D2216303CCBE}" type="pres">
      <dgm:prSet presAssocID="{68DFCB13-F778-41C4-88A6-8A8793BBCF6B}" presName="childText" presStyleLbl="conFgAcc1" presStyleIdx="0" presStyleCnt="1" custScaleY="99330" custLinFactNeighborX="-1523" custLinFactNeighborY="1916">
        <dgm:presLayoutVars>
          <dgm:bulletEnabled val="1"/>
        </dgm:presLayoutVars>
      </dgm:prSet>
      <dgm:spPr/>
    </dgm:pt>
  </dgm:ptLst>
  <dgm:cxnLst>
    <dgm:cxn modelId="{69387103-3411-4A6C-B040-8EBB6BCB6A88}" type="presOf" srcId="{3CF91B55-1F75-4C87-9C67-A20C9FA05662}" destId="{1111B519-2F2F-4512-95FE-D2216303CCBE}" srcOrd="0" destOrd="3" presId="urn:microsoft.com/office/officeart/2005/8/layout/list1"/>
    <dgm:cxn modelId="{2B97E307-DDDC-45DC-9CA7-632648FED3B9}" type="presOf" srcId="{01C29C0B-230A-4A2F-B7AB-59E88CC6B709}" destId="{1111B519-2F2F-4512-95FE-D2216303CCBE}" srcOrd="0" destOrd="0" presId="urn:microsoft.com/office/officeart/2005/8/layout/list1"/>
    <dgm:cxn modelId="{E9E7F310-CA62-40CB-950B-C2B09700E887}" type="presOf" srcId="{FF27429C-5B6E-468F-AF42-BE9281FF2A23}" destId="{7323760A-CAC8-432D-A020-F77BFA77D735}" srcOrd="0" destOrd="0" presId="urn:microsoft.com/office/officeart/2005/8/layout/list1"/>
    <dgm:cxn modelId="{2C707029-5A0E-402A-B59F-EF340F2A4F9E}" type="presOf" srcId="{B3BD5EE0-8B02-47DD-9A82-259B22A65496}" destId="{1111B519-2F2F-4512-95FE-D2216303CCBE}" srcOrd="0" destOrd="8" presId="urn:microsoft.com/office/officeart/2005/8/layout/list1"/>
    <dgm:cxn modelId="{804E552C-050E-4FE3-9A89-FA56FE6F04DB}" srcId="{68DFCB13-F778-41C4-88A6-8A8793BBCF6B}" destId="{DDD57492-28E1-4534-8544-AE4C4F54393E}" srcOrd="4" destOrd="0" parTransId="{F4E1C6EE-CD86-4051-8C91-50C764FC2B3C}" sibTransId="{810108D9-3C67-4E9B-A016-62224098F996}"/>
    <dgm:cxn modelId="{EEF66A34-B4C1-4174-83EC-4C87C0DB31E8}" type="presOf" srcId="{DDD57492-28E1-4534-8544-AE4C4F54393E}" destId="{1111B519-2F2F-4512-95FE-D2216303CCBE}" srcOrd="0" destOrd="4" presId="urn:microsoft.com/office/officeart/2005/8/layout/list1"/>
    <dgm:cxn modelId="{9E117C35-F0A3-4260-AE5F-3261DFB7C6EE}" srcId="{FF27429C-5B6E-468F-AF42-BE9281FF2A23}" destId="{68DFCB13-F778-41C4-88A6-8A8793BBCF6B}" srcOrd="0" destOrd="0" parTransId="{55E528F8-5473-447A-B4D6-39039A5FF545}" sibTransId="{18C21111-088F-4CAC-A53E-A2F91EF73064}"/>
    <dgm:cxn modelId="{D2A05A42-79FB-4963-8B17-BF9A6786808F}" srcId="{68DFCB13-F778-41C4-88A6-8A8793BBCF6B}" destId="{C3D409E7-6B38-4B8B-8222-44C703F58D92}" srcOrd="2" destOrd="0" parTransId="{35E9F9E2-37BD-42CA-AB3F-4201DA8C5649}" sibTransId="{AC2A3F50-B651-4C05-9C8B-A8F890A72D73}"/>
    <dgm:cxn modelId="{CF9E1A65-553C-4315-9B4D-6922C5CF2185}" type="presOf" srcId="{68DFCB13-F778-41C4-88A6-8A8793BBCF6B}" destId="{377E1CD8-0067-463D-AA47-7581C029D7D4}" srcOrd="1" destOrd="0" presId="urn:microsoft.com/office/officeart/2005/8/layout/list1"/>
    <dgm:cxn modelId="{3B646E4E-A757-43B0-9D09-BAE2E05E5ACA}" srcId="{68DFCB13-F778-41C4-88A6-8A8793BBCF6B}" destId="{3CF91B55-1F75-4C87-9C67-A20C9FA05662}" srcOrd="3" destOrd="0" parTransId="{D8385961-8EAF-45B4-BEDD-9F02F740FFF8}" sibTransId="{3B565E79-6F22-4474-B8A9-856B312682A2}"/>
    <dgm:cxn modelId="{047B5950-955A-4E9C-890F-03A957F573F6}" srcId="{68DFCB13-F778-41C4-88A6-8A8793BBCF6B}" destId="{01C29C0B-230A-4A2F-B7AB-59E88CC6B709}" srcOrd="0" destOrd="0" parTransId="{BD00C7DA-D115-4DC8-96E9-9A8238F85148}" sibTransId="{65EB422C-F1D3-4985-A61D-252683A994E5}"/>
    <dgm:cxn modelId="{85999478-29B4-46D0-A378-2630E510203B}" type="presOf" srcId="{6F8CBEB5-BD00-46A8-8598-53DD15BC0D05}" destId="{1111B519-2F2F-4512-95FE-D2216303CCBE}" srcOrd="0" destOrd="6" presId="urn:microsoft.com/office/officeart/2005/8/layout/list1"/>
    <dgm:cxn modelId="{3FDC437B-7FEB-4570-9F57-FAA88171B111}" type="presOf" srcId="{68DFCB13-F778-41C4-88A6-8A8793BBCF6B}" destId="{374EA5B0-C6AD-46BF-9645-7F0ED252FE66}" srcOrd="0" destOrd="0" presId="urn:microsoft.com/office/officeart/2005/8/layout/list1"/>
    <dgm:cxn modelId="{E97BC17C-ACE4-4BB7-BC2E-2E60E6AEC07C}" srcId="{68DFCB13-F778-41C4-88A6-8A8793BBCF6B}" destId="{453A4B04-F76E-490B-8F74-F2CEC3B8BB19}" srcOrd="7" destOrd="0" parTransId="{E8616642-9216-43BC-85CB-23782D39B7D5}" sibTransId="{0C3A3D81-03D4-41F0-9DDD-F21090510B7A}"/>
    <dgm:cxn modelId="{62A354C5-3414-40BA-AD2A-45FD81C86CE9}" srcId="{68DFCB13-F778-41C4-88A6-8A8793BBCF6B}" destId="{6F8CBEB5-BD00-46A8-8598-53DD15BC0D05}" srcOrd="6" destOrd="0" parTransId="{A6EB8F4D-3D4D-468C-8830-DEA557649AF4}" sibTransId="{0628C494-8642-43D7-B0AB-7759DCBF2D72}"/>
    <dgm:cxn modelId="{85A2A9D1-776F-461B-B5DF-FAD4A3C4D680}" srcId="{68DFCB13-F778-41C4-88A6-8A8793BBCF6B}" destId="{F66DA131-6178-426C-B996-591DEB09B7CB}" srcOrd="5" destOrd="0" parTransId="{CEF9C5CB-6317-4711-B2DE-3942A095800E}" sibTransId="{FC3858C3-5945-430C-BB96-A050D5CEC46F}"/>
    <dgm:cxn modelId="{DAA46AD6-6800-4619-A2CB-499FD1424CD7}" srcId="{68DFCB13-F778-41C4-88A6-8A8793BBCF6B}" destId="{8A074394-24C9-4417-B175-5B020C5132EE}" srcOrd="1" destOrd="0" parTransId="{DCE292B1-DDE6-4D66-AF9B-D8F09CB2C44B}" sibTransId="{BB78CF32-946E-44D8-A2CB-37AAD43DE337}"/>
    <dgm:cxn modelId="{B7CD85DB-3BC4-4CD4-9B17-43633D4795FD}" type="presOf" srcId="{C3D409E7-6B38-4B8B-8222-44C703F58D92}" destId="{1111B519-2F2F-4512-95FE-D2216303CCBE}" srcOrd="0" destOrd="2" presId="urn:microsoft.com/office/officeart/2005/8/layout/list1"/>
    <dgm:cxn modelId="{46B5D4E3-A1B8-446E-BF94-1D1B608BD025}" srcId="{68DFCB13-F778-41C4-88A6-8A8793BBCF6B}" destId="{B3BD5EE0-8B02-47DD-9A82-259B22A65496}" srcOrd="8" destOrd="0" parTransId="{C5714091-2FD7-45AB-996F-8D909E729D08}" sibTransId="{0927F4C2-33AC-47BA-87B1-9849DE2EA647}"/>
    <dgm:cxn modelId="{15195BEA-A48C-4BD1-BDAE-C543865F46DB}" type="presOf" srcId="{453A4B04-F76E-490B-8F74-F2CEC3B8BB19}" destId="{1111B519-2F2F-4512-95FE-D2216303CCBE}" srcOrd="0" destOrd="7" presId="urn:microsoft.com/office/officeart/2005/8/layout/list1"/>
    <dgm:cxn modelId="{CA8266EB-2064-4FDD-95F0-C82CE1121510}" type="presOf" srcId="{8A074394-24C9-4417-B175-5B020C5132EE}" destId="{1111B519-2F2F-4512-95FE-D2216303CCBE}" srcOrd="0" destOrd="1" presId="urn:microsoft.com/office/officeart/2005/8/layout/list1"/>
    <dgm:cxn modelId="{5046DFFC-77C3-490C-81E3-6B38AFE3D365}" type="presOf" srcId="{F66DA131-6178-426C-B996-591DEB09B7CB}" destId="{1111B519-2F2F-4512-95FE-D2216303CCBE}" srcOrd="0" destOrd="5" presId="urn:microsoft.com/office/officeart/2005/8/layout/list1"/>
    <dgm:cxn modelId="{4BC55A49-751C-408F-B176-B7C4C361EF7E}" type="presParOf" srcId="{7323760A-CAC8-432D-A020-F77BFA77D735}" destId="{6E63B848-FDAE-4891-8566-8BE88B653316}" srcOrd="0" destOrd="0" presId="urn:microsoft.com/office/officeart/2005/8/layout/list1"/>
    <dgm:cxn modelId="{168861B8-2B13-4D21-A0A3-3DF5AA125F21}" type="presParOf" srcId="{6E63B848-FDAE-4891-8566-8BE88B653316}" destId="{374EA5B0-C6AD-46BF-9645-7F0ED252FE66}" srcOrd="0" destOrd="0" presId="urn:microsoft.com/office/officeart/2005/8/layout/list1"/>
    <dgm:cxn modelId="{FD713377-EE71-47D7-9EBD-4A34BD75CF63}" type="presParOf" srcId="{6E63B848-FDAE-4891-8566-8BE88B653316}" destId="{377E1CD8-0067-463D-AA47-7581C029D7D4}" srcOrd="1" destOrd="0" presId="urn:microsoft.com/office/officeart/2005/8/layout/list1"/>
    <dgm:cxn modelId="{855C1ABF-EE0E-4368-AAF2-7D3585E239A5}" type="presParOf" srcId="{7323760A-CAC8-432D-A020-F77BFA77D735}" destId="{8C78493C-3C9C-4FDF-89DE-DDAC27488222}" srcOrd="1" destOrd="0" presId="urn:microsoft.com/office/officeart/2005/8/layout/list1"/>
    <dgm:cxn modelId="{680373E2-88CE-4642-9587-481CCEFD2578}" type="presParOf" srcId="{7323760A-CAC8-432D-A020-F77BFA77D735}" destId="{1111B519-2F2F-4512-95FE-D2216303CCBE}" srcOrd="2" destOrd="0" presId="urn:microsoft.com/office/officeart/2005/8/layout/lis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11B519-2F2F-4512-95FE-D2216303CCBE}">
      <dsp:nvSpPr>
        <dsp:cNvPr id="0" name=""/>
        <dsp:cNvSpPr/>
      </dsp:nvSpPr>
      <dsp:spPr>
        <a:xfrm>
          <a:off x="0" y="164167"/>
          <a:ext cx="5836919" cy="71032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3010" tIns="229108" rIns="45301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Hay una diferencia importante entre la definición de "ingreso" en la metodología nacional y los es</a:t>
          </a:r>
          <a:r>
            <a:rPr lang="en-US" sz="1000" kern="1200">
              <a:solidFill>
                <a:sysClr val="windowText" lastClr="000000"/>
              </a:solidFill>
              <a:latin typeface="Times New Roman" panose="02020603050405020304" pitchFamily="18" charset="0"/>
              <a:cs typeface="Times New Roman" panose="02020603050405020304" pitchFamily="18" charset="0"/>
            </a:rPr>
            <a:t>tán</a:t>
          </a:r>
          <a:r>
            <a:rPr lang="en-US" sz="1000" kern="1200">
              <a:latin typeface="Times New Roman" panose="02020603050405020304" pitchFamily="18" charset="0"/>
              <a:cs typeface="Times New Roman" panose="02020603050405020304" pitchFamily="18" charset="0"/>
            </a:rPr>
            <a:t>dares internacionales. </a:t>
          </a:r>
          <a:r>
            <a:rPr lang="en-US" sz="1000" b="1" kern="1200">
              <a:latin typeface="Times New Roman" panose="02020603050405020304" pitchFamily="18" charset="0"/>
              <a:cs typeface="Times New Roman" panose="02020603050405020304" pitchFamily="18" charset="0"/>
            </a:rPr>
            <a:t>En los </a:t>
          </a:r>
          <a:r>
            <a:rPr lang="en-US" sz="1000" b="1" strike="noStrike" kern="1200">
              <a:solidFill>
                <a:sysClr val="windowText" lastClr="000000"/>
              </a:solidFill>
              <a:latin typeface="Times New Roman" panose="02020603050405020304" pitchFamily="18" charset="0"/>
              <a:cs typeface="Times New Roman" panose="02020603050405020304" pitchFamily="18" charset="0"/>
            </a:rPr>
            <a:t>estándares</a:t>
          </a:r>
          <a:r>
            <a:rPr lang="en-US" sz="1000" b="1" kern="1200">
              <a:latin typeface="Times New Roman" panose="02020603050405020304" pitchFamily="18" charset="0"/>
              <a:cs typeface="Times New Roman" panose="02020603050405020304" pitchFamily="18" charset="0"/>
            </a:rPr>
            <a:t> internacionales, un ingreso es un aumento del patrimonio neto como resultado de una transacción (MEFP 2014) </a:t>
          </a:r>
        </a:p>
      </dsp:txBody>
      <dsp:txXfrm>
        <a:off x="0" y="164167"/>
        <a:ext cx="5836919" cy="710325"/>
      </dsp:txXfrm>
    </dsp:sp>
    <dsp:sp modelId="{377E1CD8-0067-463D-AA47-7581C029D7D4}">
      <dsp:nvSpPr>
        <dsp:cNvPr id="0" name=""/>
        <dsp:cNvSpPr/>
      </dsp:nvSpPr>
      <dsp:spPr>
        <a:xfrm>
          <a:off x="291560" y="1807"/>
          <a:ext cx="1379380" cy="3247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4435" tIns="0" rIns="154435" bIns="0" numCol="1" spcCol="1270" anchor="ctr" anchorCtr="0">
          <a:noAutofit/>
        </a:bodyPr>
        <a:lstStyle/>
        <a:p>
          <a:pPr marL="0" lvl="0" indent="0" algn="l"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Nota Informativa</a:t>
          </a:r>
        </a:p>
      </dsp:txBody>
      <dsp:txXfrm>
        <a:off x="307412" y="17659"/>
        <a:ext cx="1347676" cy="2930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11B519-2F2F-4512-95FE-D2216303CCBE}">
      <dsp:nvSpPr>
        <dsp:cNvPr id="0" name=""/>
        <dsp:cNvSpPr/>
      </dsp:nvSpPr>
      <dsp:spPr>
        <a:xfrm>
          <a:off x="0" y="0"/>
          <a:ext cx="5836919" cy="8662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3010" tIns="104140" rIns="453010" bIns="71120" numCol="1" spcCol="1270" anchor="t" anchorCtr="0">
          <a:noAutofit/>
        </a:bodyPr>
        <a:lstStyle/>
        <a:p>
          <a:pPr marL="57150" lvl="1" indent="-57150" algn="just" defTabSz="444500">
            <a:lnSpc>
              <a:spcPct val="90000"/>
            </a:lnSpc>
            <a:spcBef>
              <a:spcPct val="0"/>
            </a:spcBef>
            <a:spcAft>
              <a:spcPct val="15000"/>
            </a:spcAft>
            <a:buChar char="•"/>
          </a:pPr>
          <a:endParaRPr lang="en-US" sz="1000" b="1"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Los "Gastos" en los estándares internacionales presentan mayores diferencias respecto a la información presentada en metodología nacional y es importante entender que estos no son comparables entre si. </a:t>
          </a:r>
          <a:r>
            <a:rPr lang="en-US" sz="1000" b="1" kern="1200">
              <a:latin typeface="Times New Roman" panose="02020603050405020304" pitchFamily="18" charset="0"/>
              <a:cs typeface="Times New Roman" panose="02020603050405020304" pitchFamily="18" charset="0"/>
            </a:rPr>
            <a:t>En los e</a:t>
          </a:r>
          <a:r>
            <a:rPr lang="en-US" sz="1000" b="1" strike="noStrike" kern="1200">
              <a:solidFill>
                <a:sysClr val="windowText" lastClr="000000"/>
              </a:solidFill>
              <a:latin typeface="Times New Roman" panose="02020603050405020304" pitchFamily="18" charset="0"/>
              <a:cs typeface="Times New Roman" panose="02020603050405020304" pitchFamily="18" charset="0"/>
            </a:rPr>
            <a:t>stándares</a:t>
          </a:r>
          <a:r>
            <a:rPr lang="en-US" sz="1000" b="1" kern="1200">
              <a:latin typeface="Times New Roman" panose="02020603050405020304" pitchFamily="18" charset="0"/>
              <a:cs typeface="Times New Roman" panose="02020603050405020304" pitchFamily="18" charset="0"/>
            </a:rPr>
            <a:t> internacionales, un gasto es una transacción que  disminuye el patrimonio neto del gobierno (MEFP 2014) </a:t>
          </a:r>
        </a:p>
      </dsp:txBody>
      <dsp:txXfrm>
        <a:off x="0" y="0"/>
        <a:ext cx="5836919" cy="866250"/>
      </dsp:txXfrm>
    </dsp:sp>
    <dsp:sp modelId="{377E1CD8-0067-463D-AA47-7581C029D7D4}">
      <dsp:nvSpPr>
        <dsp:cNvPr id="0" name=""/>
        <dsp:cNvSpPr/>
      </dsp:nvSpPr>
      <dsp:spPr>
        <a:xfrm>
          <a:off x="291560" y="4234"/>
          <a:ext cx="1379380" cy="1476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4435" tIns="0" rIns="154435" bIns="0" numCol="1" spcCol="1270" anchor="ctr" anchorCtr="0">
          <a:noAutofit/>
        </a:bodyPr>
        <a:lstStyle/>
        <a:p>
          <a:pPr marL="0" lvl="0" indent="0" algn="l"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Nota Informativa</a:t>
          </a:r>
        </a:p>
      </dsp:txBody>
      <dsp:txXfrm>
        <a:off x="298765" y="11439"/>
        <a:ext cx="1364970" cy="1331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11B519-2F2F-4512-95FE-D2216303CCBE}">
      <dsp:nvSpPr>
        <dsp:cNvPr id="0" name=""/>
        <dsp:cNvSpPr/>
      </dsp:nvSpPr>
      <dsp:spPr>
        <a:xfrm>
          <a:off x="0" y="164167"/>
          <a:ext cx="5836919" cy="71032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3010" tIns="229108" rIns="453010" bIns="71120" numCol="1" spcCol="1270" anchor="t" anchorCtr="0">
          <a:noAutofit/>
        </a:bodyPr>
        <a:lstStyle/>
        <a:p>
          <a:pPr marL="57150" lvl="1" indent="-57150" algn="just" defTabSz="444500">
            <a:lnSpc>
              <a:spcPct val="90000"/>
            </a:lnSpc>
            <a:spcBef>
              <a:spcPct val="0"/>
            </a:spcBef>
            <a:spcAft>
              <a:spcPct val="15000"/>
            </a:spcAft>
            <a:buChar char="•"/>
          </a:pPr>
          <a:r>
            <a:rPr lang="en-US" sz="1000" b="0" kern="1200">
              <a:latin typeface="Times New Roman" panose="02020603050405020304" pitchFamily="18" charset="0"/>
              <a:cs typeface="Times New Roman" panose="02020603050405020304" pitchFamily="18" charset="0"/>
            </a:rPr>
            <a:t>Una transacción es un flujo económico que consiste en una interacción entre unidades institucionales </a:t>
          </a:r>
          <a:r>
            <a:rPr lang="en-US" sz="1000" b="1" kern="1200">
              <a:latin typeface="Times New Roman" panose="02020603050405020304" pitchFamily="18" charset="0"/>
              <a:cs typeface="Times New Roman" panose="02020603050405020304" pitchFamily="18" charset="0"/>
            </a:rPr>
            <a:t>por mutuo acuerdo o mediante la aplicación de la ley.... (MEFP 2014)</a:t>
          </a:r>
          <a:r>
            <a:rPr lang="en-US" sz="1000" b="0" kern="1200">
              <a:latin typeface="Times New Roman" panose="02020603050405020304" pitchFamily="18" charset="0"/>
              <a:cs typeface="Times New Roman" panose="02020603050405020304" pitchFamily="18" charset="0"/>
            </a:rPr>
            <a:t>. </a:t>
          </a:r>
          <a:r>
            <a:rPr lang="en-US" sz="1000" b="1" kern="1200">
              <a:latin typeface="Times New Roman" panose="02020603050405020304" pitchFamily="18" charset="0"/>
              <a:cs typeface="Times New Roman" panose="02020603050405020304" pitchFamily="18" charset="0"/>
            </a:rPr>
            <a:t>Las transacciones en activos y pasivos no generan cambios en el patrimonio neto.</a:t>
          </a:r>
        </a:p>
      </dsp:txBody>
      <dsp:txXfrm>
        <a:off x="0" y="164167"/>
        <a:ext cx="5836919" cy="710325"/>
      </dsp:txXfrm>
    </dsp:sp>
    <dsp:sp modelId="{377E1CD8-0067-463D-AA47-7581C029D7D4}">
      <dsp:nvSpPr>
        <dsp:cNvPr id="0" name=""/>
        <dsp:cNvSpPr/>
      </dsp:nvSpPr>
      <dsp:spPr>
        <a:xfrm>
          <a:off x="291560" y="1807"/>
          <a:ext cx="1379380" cy="3247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4435" tIns="0" rIns="154435" bIns="0" numCol="1" spcCol="1270" anchor="ctr" anchorCtr="0">
          <a:noAutofit/>
        </a:bodyPr>
        <a:lstStyle/>
        <a:p>
          <a:pPr marL="0" lvl="0" indent="0" algn="l"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Nota Informativa</a:t>
          </a:r>
        </a:p>
      </dsp:txBody>
      <dsp:txXfrm>
        <a:off x="307412" y="17659"/>
        <a:ext cx="1347676" cy="2930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11B519-2F2F-4512-95FE-D2216303CCBE}">
      <dsp:nvSpPr>
        <dsp:cNvPr id="0" name=""/>
        <dsp:cNvSpPr/>
      </dsp:nvSpPr>
      <dsp:spPr>
        <a:xfrm>
          <a:off x="0" y="114959"/>
          <a:ext cx="5836919" cy="7497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3010" tIns="145796" rIns="453010" bIns="7112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Las "Erogaciones" poseen cierta similitud conceptual a lo que en la metodología nacional se entiende por gasto, sin embargo, poseen algunas diferencias leves. </a:t>
          </a:r>
          <a:r>
            <a:rPr lang="en-US" sz="1000" b="1" kern="1200">
              <a:latin typeface="Times New Roman" panose="02020603050405020304" pitchFamily="18" charset="0"/>
              <a:cs typeface="Times New Roman" panose="02020603050405020304" pitchFamily="18" charset="0"/>
            </a:rPr>
            <a:t>En </a:t>
          </a:r>
          <a:r>
            <a:rPr lang="en-US" sz="1000" b="1" kern="1200">
              <a:solidFill>
                <a:sysClr val="windowText" lastClr="000000"/>
              </a:solidFill>
              <a:latin typeface="Times New Roman" panose="02020603050405020304" pitchFamily="18" charset="0"/>
              <a:cs typeface="Times New Roman" panose="02020603050405020304" pitchFamily="18" charset="0"/>
            </a:rPr>
            <a:t>los </a:t>
          </a:r>
          <a:r>
            <a:rPr lang="en-US" sz="1000" b="1" strike="noStrike" kern="1200">
              <a:solidFill>
                <a:sysClr val="windowText" lastClr="000000"/>
              </a:solidFill>
              <a:latin typeface="Times New Roman" panose="02020603050405020304" pitchFamily="18" charset="0"/>
              <a:cs typeface="Times New Roman" panose="02020603050405020304" pitchFamily="18" charset="0"/>
            </a:rPr>
            <a:t>estándares</a:t>
          </a:r>
          <a:r>
            <a:rPr lang="en-US" sz="1000" b="1" kern="1200">
              <a:solidFill>
                <a:sysClr val="windowText" lastClr="000000"/>
              </a:solidFill>
              <a:latin typeface="Times New Roman" panose="02020603050405020304" pitchFamily="18" charset="0"/>
              <a:cs typeface="Times New Roman" panose="02020603050405020304" pitchFamily="18" charset="0"/>
            </a:rPr>
            <a:t> internacionales, una erogación es la suma de los gastos y la inversión neta en activos </a:t>
          </a:r>
          <a:r>
            <a:rPr lang="en-US" sz="1000" b="1" kern="1200">
              <a:latin typeface="Times New Roman" panose="02020603050405020304" pitchFamily="18" charset="0"/>
              <a:cs typeface="Times New Roman" panose="02020603050405020304" pitchFamily="18" charset="0"/>
            </a:rPr>
            <a:t>no financieros (MEFP 2014) </a:t>
          </a:r>
        </a:p>
      </dsp:txBody>
      <dsp:txXfrm>
        <a:off x="0" y="114959"/>
        <a:ext cx="5836919" cy="749700"/>
      </dsp:txXfrm>
    </dsp:sp>
    <dsp:sp modelId="{377E1CD8-0067-463D-AA47-7581C029D7D4}">
      <dsp:nvSpPr>
        <dsp:cNvPr id="0" name=""/>
        <dsp:cNvSpPr/>
      </dsp:nvSpPr>
      <dsp:spPr>
        <a:xfrm>
          <a:off x="291560" y="11639"/>
          <a:ext cx="1379380" cy="2066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4435" tIns="0" rIns="154435" bIns="0" numCol="1" spcCol="1270" anchor="ctr" anchorCtr="0">
          <a:noAutofit/>
        </a:bodyPr>
        <a:lstStyle/>
        <a:p>
          <a:pPr marL="0" lvl="0" indent="0" algn="l"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Nota Informativa</a:t>
          </a:r>
        </a:p>
      </dsp:txBody>
      <dsp:txXfrm>
        <a:off x="301647" y="21726"/>
        <a:ext cx="1359206" cy="18646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11B519-2F2F-4512-95FE-D2216303CCBE}">
      <dsp:nvSpPr>
        <dsp:cNvPr id="0" name=""/>
        <dsp:cNvSpPr/>
      </dsp:nvSpPr>
      <dsp:spPr>
        <a:xfrm>
          <a:off x="0" y="73866"/>
          <a:ext cx="5836919" cy="178003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3010" tIns="163958" rIns="453010" bIns="7112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Existe una diferencia importante entre el concepto de resultado fiscal con metodología nacional y los </a:t>
          </a:r>
          <a:r>
            <a:rPr lang="en-US" sz="1000" kern="1200">
              <a:solidFill>
                <a:sysClr val="windowText" lastClr="000000"/>
              </a:solidFill>
              <a:latin typeface="Times New Roman" panose="02020603050405020304" pitchFamily="18" charset="0"/>
              <a:cs typeface="Times New Roman" panose="02020603050405020304" pitchFamily="18" charset="0"/>
            </a:rPr>
            <a:t>estándares internacionales, lo cual </a:t>
          </a:r>
          <a:r>
            <a:rPr lang="en-US" sz="1000" kern="1200">
              <a:latin typeface="Times New Roman" panose="02020603050405020304" pitchFamily="18" charset="0"/>
              <a:cs typeface="Times New Roman" panose="02020603050405020304" pitchFamily="18" charset="0"/>
            </a:rPr>
            <a:t>hace que estos no sean perfectamente comparables. </a:t>
          </a:r>
          <a:r>
            <a:rPr lang="en-US" sz="1000" b="1" kern="1200">
              <a:latin typeface="Times New Roman" panose="02020603050405020304" pitchFamily="18" charset="0"/>
              <a:cs typeface="Times New Roman" panose="02020603050405020304" pitchFamily="18" charset="0"/>
            </a:rPr>
            <a:t>En los </a:t>
          </a:r>
          <a:r>
            <a:rPr lang="en-US" sz="1000" b="1" strike="noStrike" kern="1200">
              <a:solidFill>
                <a:sysClr val="windowText" lastClr="000000"/>
              </a:solidFill>
              <a:latin typeface="Times New Roman" panose="02020603050405020304" pitchFamily="18" charset="0"/>
              <a:cs typeface="Times New Roman" panose="02020603050405020304" pitchFamily="18" charset="0"/>
            </a:rPr>
            <a:t>estándares</a:t>
          </a:r>
          <a:r>
            <a:rPr lang="en-US" sz="1000" b="1" kern="1200">
              <a:latin typeface="Times New Roman" panose="02020603050405020304" pitchFamily="18" charset="0"/>
              <a:cs typeface="Times New Roman" panose="02020603050405020304" pitchFamily="18" charset="0"/>
            </a:rPr>
            <a:t> internacionales existen los siguientes indicadores fiscales:</a:t>
          </a:r>
        </a:p>
        <a:p>
          <a:pPr marL="57150" lvl="1" indent="-57150" algn="l" defTabSz="444500">
            <a:lnSpc>
              <a:spcPct val="90000"/>
            </a:lnSpc>
            <a:spcBef>
              <a:spcPct val="0"/>
            </a:spcBef>
            <a:spcAft>
              <a:spcPct val="15000"/>
            </a:spcAft>
            <a:buChar char="•"/>
          </a:pPr>
          <a:endParaRPr lang="en-US" sz="1000" b="1"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 1.) Resultado Operativo Neto (NOB) = </a:t>
          </a:r>
          <a:r>
            <a:rPr lang="en-US" sz="1000" b="0" kern="1200">
              <a:latin typeface="Times New Roman" panose="02020603050405020304" pitchFamily="18" charset="0"/>
              <a:cs typeface="Times New Roman" panose="02020603050405020304" pitchFamily="18" charset="0"/>
            </a:rPr>
            <a:t>Ingresos - Gastos</a:t>
          </a:r>
        </a:p>
        <a:p>
          <a:pPr marL="57150" lvl="1" indent="-57150" algn="just"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 2.) Resultado Operativo Bruto (GOB) = </a:t>
          </a:r>
          <a:r>
            <a:rPr lang="en-US" sz="1000" b="0" kern="1200">
              <a:latin typeface="Times New Roman" panose="02020603050405020304" pitchFamily="18" charset="0"/>
              <a:cs typeface="Times New Roman" panose="02020603050405020304" pitchFamily="18" charset="0"/>
            </a:rPr>
            <a:t>Ingresos - Gastos + Consumo de capital fijo</a:t>
          </a:r>
        </a:p>
        <a:p>
          <a:pPr marL="57150" lvl="1" indent="-57150" algn="just"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 3.) P</a:t>
          </a:r>
          <a:r>
            <a:rPr lang="en-US" sz="1000" b="1" kern="1200">
              <a:solidFill>
                <a:sysClr val="windowText" lastClr="000000"/>
              </a:solidFill>
              <a:latin typeface="Times New Roman" panose="02020603050405020304" pitchFamily="18" charset="0"/>
              <a:cs typeface="Times New Roman" panose="02020603050405020304" pitchFamily="18" charset="0"/>
            </a:rPr>
            <a:t>réstamo </a:t>
          </a:r>
          <a:r>
            <a:rPr lang="en-US" sz="1000" b="1" kern="1200">
              <a:latin typeface="Times New Roman" panose="02020603050405020304" pitchFamily="18" charset="0"/>
              <a:cs typeface="Times New Roman" panose="02020603050405020304" pitchFamily="18" charset="0"/>
            </a:rPr>
            <a:t>o Endeudamiento Neto (NLB) = </a:t>
          </a:r>
          <a:r>
            <a:rPr lang="en-US" sz="1000" b="0" kern="1200">
              <a:latin typeface="Times New Roman" panose="02020603050405020304" pitchFamily="18" charset="0"/>
              <a:cs typeface="Times New Roman" panose="02020603050405020304" pitchFamily="18" charset="0"/>
            </a:rPr>
            <a:t>NOB - Inversión Neta en Activos no financieros</a:t>
          </a:r>
        </a:p>
        <a:p>
          <a:pPr marL="57150" lvl="1" indent="-57150" algn="just" defTabSz="444500">
            <a:lnSpc>
              <a:spcPct val="90000"/>
            </a:lnSpc>
            <a:spcBef>
              <a:spcPct val="0"/>
            </a:spcBef>
            <a:spcAft>
              <a:spcPct val="15000"/>
            </a:spcAft>
            <a:buChar char="•"/>
          </a:pPr>
          <a:endParaRPr lang="en-US" sz="1000" b="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El NOB equivale a las variaciones en el patrimonio neto derivado a transacciones mientras que el NLB también equivale al financiamiento total (MEFP 2014)</a:t>
          </a:r>
        </a:p>
        <a:p>
          <a:pPr marL="57150" lvl="1" indent="-57150" algn="just" defTabSz="444500">
            <a:lnSpc>
              <a:spcPct val="90000"/>
            </a:lnSpc>
            <a:spcBef>
              <a:spcPct val="0"/>
            </a:spcBef>
            <a:spcAft>
              <a:spcPct val="15000"/>
            </a:spcAft>
            <a:buChar char="•"/>
          </a:pPr>
          <a:endParaRPr lang="en-US" sz="1000" b="1"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endParaRPr lang="en-US" sz="1000" b="1" kern="1200">
            <a:latin typeface="Times New Roman" panose="02020603050405020304" pitchFamily="18" charset="0"/>
            <a:cs typeface="Times New Roman" panose="02020603050405020304" pitchFamily="18" charset="0"/>
          </a:endParaRPr>
        </a:p>
      </dsp:txBody>
      <dsp:txXfrm>
        <a:off x="0" y="73866"/>
        <a:ext cx="5836919" cy="1780030"/>
      </dsp:txXfrm>
    </dsp:sp>
    <dsp:sp modelId="{377E1CD8-0067-463D-AA47-7581C029D7D4}">
      <dsp:nvSpPr>
        <dsp:cNvPr id="0" name=""/>
        <dsp:cNvSpPr/>
      </dsp:nvSpPr>
      <dsp:spPr>
        <a:xfrm>
          <a:off x="291560" y="1660"/>
          <a:ext cx="1379380" cy="14169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4435" tIns="0" rIns="154435" bIns="0" numCol="1" spcCol="1270" anchor="ctr" anchorCtr="0">
          <a:noAutofit/>
        </a:bodyPr>
        <a:lstStyle/>
        <a:p>
          <a:pPr marL="0" lvl="0" indent="0" algn="l"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Nota Informativa</a:t>
          </a:r>
        </a:p>
      </dsp:txBody>
      <dsp:txXfrm>
        <a:off x="298477" y="8577"/>
        <a:ext cx="1365546" cy="127861"/>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0.59</cdr:x>
      <cdr:y>0.86131</cdr:y>
    </cdr:from>
    <cdr:to>
      <cdr:x>1</cdr:x>
      <cdr:y>0.97958</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3460267" y="1648459"/>
          <a:ext cx="2404593" cy="22635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drawings/drawing10.xml><?xml version="1.0" encoding="utf-8"?>
<c:userShapes xmlns:c="http://schemas.openxmlformats.org/drawingml/2006/chart">
  <cdr:relSizeAnchor xmlns:cdr="http://schemas.openxmlformats.org/drawingml/2006/chartDrawing">
    <cdr:from>
      <cdr:x>0.1937</cdr:x>
      <cdr:y>0.89402</cdr:y>
    </cdr:from>
    <cdr:to>
      <cdr:x>0.99715</cdr:x>
      <cdr:y>0.99266</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464331" y="3324466"/>
          <a:ext cx="1925970" cy="36679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spcAft>
              <a:spcPts val="0"/>
            </a:spcAft>
          </a:pPr>
          <a:r>
            <a:rPr lang="es-GT" sz="800" baseline="30000">
              <a:effectLst/>
              <a:latin typeface="Times New Roman" panose="02020603050405020304" pitchFamily="18" charset="0"/>
              <a:ea typeface="Times New Roman" panose="02020603050405020304" pitchFamily="18" charset="0"/>
              <a:cs typeface="Times New Roman" panose="02020603050405020304" pitchFamily="18" charset="0"/>
            </a:rPr>
            <a:t>1/ </a:t>
          </a: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Con base a la metodología nacional</a:t>
          </a:r>
        </a:p>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p>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0.81689</cdr:x>
      <cdr:y>0.28701</cdr:y>
    </cdr:from>
    <cdr:to>
      <cdr:x>0.81689</cdr:x>
      <cdr:y>0.88429</cdr:y>
    </cdr:to>
    <cdr:cxnSp macro="">
      <cdr:nvCxnSpPr>
        <cdr:cNvPr id="3" name="Conector recto 2"/>
        <cdr:cNvCxnSpPr/>
      </cdr:nvCxnSpPr>
      <cdr:spPr>
        <a:xfrm xmlns:a="http://schemas.openxmlformats.org/drawingml/2006/main">
          <a:off x="4878109" y="520510"/>
          <a:ext cx="0" cy="1083203"/>
        </a:xfrm>
        <a:prstGeom xmlns:a="http://schemas.openxmlformats.org/drawingml/2006/main" prst="line">
          <a:avLst/>
        </a:prstGeom>
        <a:effectLst xmlns:a="http://schemas.openxmlformats.org/drawingml/2006/main">
          <a:outerShdw blurRad="50800" dist="38100" dir="18900000" algn="bl" rotWithShape="0">
            <a:prstClr val="black">
              <a:alpha val="40000"/>
            </a:prstClr>
          </a:outerShdw>
        </a:effectLst>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0.53792</cdr:x>
      <cdr:y>0.8023</cdr:y>
    </cdr:from>
    <cdr:to>
      <cdr:x>0.99576</cdr:x>
      <cdr:y>0.8037</cdr:y>
    </cdr:to>
    <cdr:cxnSp macro="">
      <cdr:nvCxnSpPr>
        <cdr:cNvPr id="3" name="Conector recto 2"/>
        <cdr:cNvCxnSpPr/>
      </cdr:nvCxnSpPr>
      <cdr:spPr>
        <a:xfrm xmlns:a="http://schemas.openxmlformats.org/drawingml/2006/main" flipV="1">
          <a:off x="1546666" y="6065624"/>
          <a:ext cx="1316419" cy="10584"/>
        </a:xfrm>
        <a:prstGeom xmlns:a="http://schemas.openxmlformats.org/drawingml/2006/main" prst="line">
          <a:avLst/>
        </a:prstGeom>
        <a:effectLst xmlns:a="http://schemas.openxmlformats.org/drawingml/2006/main">
          <a:outerShdw blurRad="50800" dist="38100" dir="18900000" algn="bl" rotWithShape="0">
            <a:prstClr val="black">
              <a:alpha val="40000"/>
            </a:prstClr>
          </a:outerShdw>
        </a:effectLst>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0.38731</cdr:x>
      <cdr:y>0.93965</cdr:y>
    </cdr:from>
    <cdr:to>
      <cdr:x>0.98852</cdr:x>
      <cdr:y>1</cdr:y>
    </cdr:to>
    <cdr:sp macro="" textlink="">
      <cdr:nvSpPr>
        <cdr:cNvPr id="4" name="Cuadro de texto 2"/>
        <cdr:cNvSpPr txBox="1">
          <a:spLocks xmlns:a="http://schemas.openxmlformats.org/drawingml/2006/main" noChangeArrowheads="1"/>
        </cdr:cNvSpPr>
      </cdr:nvSpPr>
      <cdr:spPr bwMode="auto">
        <a:xfrm xmlns:a="http://schemas.openxmlformats.org/drawingml/2006/main">
          <a:off x="1156910" y="5097439"/>
          <a:ext cx="1795839" cy="32736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drawings/drawing4.xml><?xml version="1.0" encoding="utf-8"?>
<c:userShapes xmlns:c="http://schemas.openxmlformats.org/drawingml/2006/chart">
  <cdr:relSizeAnchor xmlns:cdr="http://schemas.openxmlformats.org/drawingml/2006/chartDrawing">
    <cdr:from>
      <cdr:x>0.01254</cdr:x>
      <cdr:y>0.87521</cdr:y>
    </cdr:from>
    <cdr:to>
      <cdr:x>0.46437</cdr:x>
      <cdr:y>1</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35601" y="1910687"/>
          <a:ext cx="1282497" cy="27244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l">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l">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l">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drawings/drawing5.xml><?xml version="1.0" encoding="utf-8"?>
<c:userShapes xmlns:c="http://schemas.openxmlformats.org/drawingml/2006/chart">
  <cdr:relSizeAnchor xmlns:cdr="http://schemas.openxmlformats.org/drawingml/2006/chartDrawing">
    <cdr:from>
      <cdr:x>0.12364</cdr:x>
      <cdr:y>0.22445</cdr:y>
    </cdr:from>
    <cdr:to>
      <cdr:x>0.12538</cdr:x>
      <cdr:y>0.76922</cdr:y>
    </cdr:to>
    <cdr:cxnSp macro="">
      <cdr:nvCxnSpPr>
        <cdr:cNvPr id="3" name="Conector recto 2"/>
        <cdr:cNvCxnSpPr/>
      </cdr:nvCxnSpPr>
      <cdr:spPr>
        <a:xfrm xmlns:a="http://schemas.openxmlformats.org/drawingml/2006/main">
          <a:off x="736979" y="614149"/>
          <a:ext cx="10379" cy="1490602"/>
        </a:xfrm>
        <a:prstGeom xmlns:a="http://schemas.openxmlformats.org/drawingml/2006/main" prst="line">
          <a:avLst/>
        </a:prstGeom>
        <a:effectLst xmlns:a="http://schemas.openxmlformats.org/drawingml/2006/main">
          <a:outerShdw blurRad="50800" dist="38100" dir="18900000" algn="bl" rotWithShape="0">
            <a:prstClr val="black">
              <a:alpha val="40000"/>
            </a:prstClr>
          </a:outerShdw>
        </a:effectLst>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0.58965</cdr:x>
      <cdr:y>0.85996</cdr:y>
    </cdr:from>
    <cdr:to>
      <cdr:x>1</cdr:x>
      <cdr:y>1</cdr:y>
    </cdr:to>
    <cdr:sp macro="" textlink="">
      <cdr:nvSpPr>
        <cdr:cNvPr id="4" name="Cuadro de texto 2"/>
        <cdr:cNvSpPr txBox="1">
          <a:spLocks xmlns:a="http://schemas.openxmlformats.org/drawingml/2006/main" noChangeArrowheads="1"/>
        </cdr:cNvSpPr>
      </cdr:nvSpPr>
      <cdr:spPr bwMode="auto">
        <a:xfrm xmlns:a="http://schemas.openxmlformats.org/drawingml/2006/main">
          <a:off x="3514753" y="1619116"/>
          <a:ext cx="2445992" cy="26365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drawings/drawing6.xml><?xml version="1.0" encoding="utf-8"?>
<c:userShapes xmlns:c="http://schemas.openxmlformats.org/drawingml/2006/chart">
  <cdr:relSizeAnchor xmlns:cdr="http://schemas.openxmlformats.org/drawingml/2006/chartDrawing">
    <cdr:from>
      <cdr:x>0.78614</cdr:x>
      <cdr:y>0.86031</cdr:y>
    </cdr:from>
    <cdr:to>
      <cdr:x>1</cdr:x>
      <cdr:y>1</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4725916" y="1931158"/>
          <a:ext cx="1285629" cy="31356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r">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drawings/drawing7.xml><?xml version="1.0" encoding="utf-8"?>
<c:userShapes xmlns:c="http://schemas.openxmlformats.org/drawingml/2006/chart">
  <cdr:relSizeAnchor xmlns:cdr="http://schemas.openxmlformats.org/drawingml/2006/chartDrawing">
    <cdr:from>
      <cdr:x>0.7427</cdr:x>
      <cdr:y>0.11693</cdr:y>
    </cdr:from>
    <cdr:to>
      <cdr:x>0.7427</cdr:x>
      <cdr:y>0.7974</cdr:y>
    </cdr:to>
    <cdr:cxnSp macro="">
      <cdr:nvCxnSpPr>
        <cdr:cNvPr id="4" name="Conector recto 3"/>
        <cdr:cNvCxnSpPr/>
      </cdr:nvCxnSpPr>
      <cdr:spPr>
        <a:xfrm xmlns:a="http://schemas.openxmlformats.org/drawingml/2006/main">
          <a:off x="2453810" y="256164"/>
          <a:ext cx="0" cy="1490750"/>
        </a:xfrm>
        <a:prstGeom xmlns:a="http://schemas.openxmlformats.org/drawingml/2006/main" prst="line">
          <a:avLst/>
        </a:prstGeom>
        <a:ln xmlns:a="http://schemas.openxmlformats.org/drawingml/2006/main" w="28575" cap="flat" cmpd="sng" algn="ctr">
          <a:solidFill>
            <a:schemeClr val="tx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0.77541</cdr:x>
      <cdr:y>0.09817</cdr:y>
    </cdr:from>
    <cdr:to>
      <cdr:x>0.77541</cdr:x>
      <cdr:y>0.62176</cdr:y>
    </cdr:to>
    <cdr:cxnSp macro="">
      <cdr:nvCxnSpPr>
        <cdr:cNvPr id="3" name="Conector recto 2"/>
        <cdr:cNvCxnSpPr/>
      </cdr:nvCxnSpPr>
      <cdr:spPr>
        <a:xfrm xmlns:a="http://schemas.openxmlformats.org/drawingml/2006/main">
          <a:off x="2791826" y="215439"/>
          <a:ext cx="0" cy="1149050"/>
        </a:xfrm>
        <a:prstGeom xmlns:a="http://schemas.openxmlformats.org/drawingml/2006/main" prst="line">
          <a:avLst/>
        </a:prstGeom>
        <a:ln xmlns:a="http://schemas.openxmlformats.org/drawingml/2006/main" w="28575" cap="flat" cmpd="sng" algn="ctr">
          <a:solidFill>
            <a:schemeClr val="tx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dr:relSizeAnchor xmlns:cdr="http://schemas.openxmlformats.org/drawingml/2006/chartDrawing">
    <cdr:from>
      <cdr:x>0</cdr:x>
      <cdr:y>0.85052</cdr:y>
    </cdr:from>
    <cdr:to>
      <cdr:x>0.3026</cdr:x>
      <cdr:y>0.96</cdr:y>
    </cdr:to>
    <cdr:sp macro="" textlink="">
      <cdr:nvSpPr>
        <cdr:cNvPr id="4" name="Cuadro de texto 2"/>
        <cdr:cNvSpPr txBox="1">
          <a:spLocks xmlns:a="http://schemas.openxmlformats.org/drawingml/2006/main" noChangeArrowheads="1"/>
        </cdr:cNvSpPr>
      </cdr:nvSpPr>
      <cdr:spPr bwMode="auto">
        <a:xfrm xmlns:a="http://schemas.openxmlformats.org/drawingml/2006/main">
          <a:off x="0" y="2222970"/>
          <a:ext cx="1089496" cy="2861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l">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l">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l">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drawings/drawing9.xml><?xml version="1.0" encoding="utf-8"?>
<c:userShapes xmlns:c="http://schemas.openxmlformats.org/drawingml/2006/chart">
  <cdr:relSizeAnchor xmlns:cdr="http://schemas.openxmlformats.org/drawingml/2006/chartDrawing">
    <cdr:from>
      <cdr:x>0.00247</cdr:x>
      <cdr:y>0.87237</cdr:y>
    </cdr:from>
    <cdr:to>
      <cdr:x>0.18837</cdr:x>
      <cdr:y>1</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14659" y="2142699"/>
          <a:ext cx="1103262" cy="31348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*Cifras preliminares</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l">
            <a:spcAft>
              <a:spcPts val="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MINFIN</a:t>
          </a:r>
          <a:endParaRPr lang="es-GT" sz="1100">
            <a:effectLst/>
            <a:latin typeface="Times New Roman" panose="02020603050405020304" pitchFamily="18" charset="0"/>
            <a:ea typeface="Times New Roman" panose="02020603050405020304" pitchFamily="18" charset="0"/>
            <a:cs typeface="Times New Roman" panose="02020603050405020304" pitchFamily="18" charset="0"/>
          </a:endParaRPr>
        </a:p>
        <a:p xmlns:a="http://schemas.openxmlformats.org/drawingml/2006/main">
          <a:pPr algn="l">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a:p xmlns:a="http://schemas.openxmlformats.org/drawingml/2006/main">
          <a:pPr algn="l">
            <a:spcAft>
              <a:spcPts val="0"/>
            </a:spcAft>
          </a:pPr>
          <a:r>
            <a:rPr lang="es-GT" sz="1100">
              <a:effectLst/>
              <a:latin typeface="Times New Roman" panose="02020603050405020304" pitchFamily="18" charset="0"/>
              <a:ea typeface="Times New Roman" panose="02020603050405020304" pitchFamily="18" charset="0"/>
              <a:cs typeface="Times New Roman" panose="02020603050405020304" pitchFamily="18" charset="0"/>
            </a:rPr>
            <a:t> </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5B47F-8224-4013-8EE9-B6C68F06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2900</Words>
  <Characters>15956</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las FinanzAs públicas</vt:lpstr>
      <vt:lpstr>Informe de las FinanzAs públicas</vt:lpstr>
    </vt:vector>
  </TitlesOfParts>
  <Company>Dirección de Análisis y Política Fiscal</Company>
  <LinksUpToDate>false</LinksUpToDate>
  <CharactersWithSpaces>18819</CharactersWithSpaces>
  <SharedDoc>false</SharedDoc>
  <HLinks>
    <vt:vector size="102" baseType="variant">
      <vt:variant>
        <vt:i4>1966137</vt:i4>
      </vt:variant>
      <vt:variant>
        <vt:i4>98</vt:i4>
      </vt:variant>
      <vt:variant>
        <vt:i4>0</vt:i4>
      </vt:variant>
      <vt:variant>
        <vt:i4>5</vt:i4>
      </vt:variant>
      <vt:variant>
        <vt:lpwstr/>
      </vt:variant>
      <vt:variant>
        <vt:lpwstr>_Toc71108078</vt:lpwstr>
      </vt:variant>
      <vt:variant>
        <vt:i4>1114169</vt:i4>
      </vt:variant>
      <vt:variant>
        <vt:i4>92</vt:i4>
      </vt:variant>
      <vt:variant>
        <vt:i4>0</vt:i4>
      </vt:variant>
      <vt:variant>
        <vt:i4>5</vt:i4>
      </vt:variant>
      <vt:variant>
        <vt:lpwstr/>
      </vt:variant>
      <vt:variant>
        <vt:lpwstr>_Toc71108077</vt:lpwstr>
      </vt:variant>
      <vt:variant>
        <vt:i4>1245241</vt:i4>
      </vt:variant>
      <vt:variant>
        <vt:i4>86</vt:i4>
      </vt:variant>
      <vt:variant>
        <vt:i4>0</vt:i4>
      </vt:variant>
      <vt:variant>
        <vt:i4>5</vt:i4>
      </vt:variant>
      <vt:variant>
        <vt:lpwstr/>
      </vt:variant>
      <vt:variant>
        <vt:lpwstr>_Toc71108075</vt:lpwstr>
      </vt:variant>
      <vt:variant>
        <vt:i4>1179705</vt:i4>
      </vt:variant>
      <vt:variant>
        <vt:i4>80</vt:i4>
      </vt:variant>
      <vt:variant>
        <vt:i4>0</vt:i4>
      </vt:variant>
      <vt:variant>
        <vt:i4>5</vt:i4>
      </vt:variant>
      <vt:variant>
        <vt:lpwstr/>
      </vt:variant>
      <vt:variant>
        <vt:lpwstr>_Toc71108074</vt:lpwstr>
      </vt:variant>
      <vt:variant>
        <vt:i4>1376313</vt:i4>
      </vt:variant>
      <vt:variant>
        <vt:i4>74</vt:i4>
      </vt:variant>
      <vt:variant>
        <vt:i4>0</vt:i4>
      </vt:variant>
      <vt:variant>
        <vt:i4>5</vt:i4>
      </vt:variant>
      <vt:variant>
        <vt:lpwstr/>
      </vt:variant>
      <vt:variant>
        <vt:lpwstr>_Toc71108073</vt:lpwstr>
      </vt:variant>
      <vt:variant>
        <vt:i4>1048632</vt:i4>
      </vt:variant>
      <vt:variant>
        <vt:i4>68</vt:i4>
      </vt:variant>
      <vt:variant>
        <vt:i4>0</vt:i4>
      </vt:variant>
      <vt:variant>
        <vt:i4>5</vt:i4>
      </vt:variant>
      <vt:variant>
        <vt:lpwstr/>
      </vt:variant>
      <vt:variant>
        <vt:lpwstr>_Toc71108066</vt:lpwstr>
      </vt:variant>
      <vt:variant>
        <vt:i4>1245240</vt:i4>
      </vt:variant>
      <vt:variant>
        <vt:i4>62</vt:i4>
      </vt:variant>
      <vt:variant>
        <vt:i4>0</vt:i4>
      </vt:variant>
      <vt:variant>
        <vt:i4>5</vt:i4>
      </vt:variant>
      <vt:variant>
        <vt:lpwstr/>
      </vt:variant>
      <vt:variant>
        <vt:lpwstr>_Toc71108065</vt:lpwstr>
      </vt:variant>
      <vt:variant>
        <vt:i4>1179704</vt:i4>
      </vt:variant>
      <vt:variant>
        <vt:i4>56</vt:i4>
      </vt:variant>
      <vt:variant>
        <vt:i4>0</vt:i4>
      </vt:variant>
      <vt:variant>
        <vt:i4>5</vt:i4>
      </vt:variant>
      <vt:variant>
        <vt:lpwstr/>
      </vt:variant>
      <vt:variant>
        <vt:lpwstr>_Toc71108064</vt:lpwstr>
      </vt:variant>
      <vt:variant>
        <vt:i4>1310776</vt:i4>
      </vt:variant>
      <vt:variant>
        <vt:i4>50</vt:i4>
      </vt:variant>
      <vt:variant>
        <vt:i4>0</vt:i4>
      </vt:variant>
      <vt:variant>
        <vt:i4>5</vt:i4>
      </vt:variant>
      <vt:variant>
        <vt:lpwstr/>
      </vt:variant>
      <vt:variant>
        <vt:lpwstr>_Toc71108062</vt:lpwstr>
      </vt:variant>
      <vt:variant>
        <vt:i4>1507384</vt:i4>
      </vt:variant>
      <vt:variant>
        <vt:i4>44</vt:i4>
      </vt:variant>
      <vt:variant>
        <vt:i4>0</vt:i4>
      </vt:variant>
      <vt:variant>
        <vt:i4>5</vt:i4>
      </vt:variant>
      <vt:variant>
        <vt:lpwstr/>
      </vt:variant>
      <vt:variant>
        <vt:lpwstr>_Toc71108061</vt:lpwstr>
      </vt:variant>
      <vt:variant>
        <vt:i4>2031675</vt:i4>
      </vt:variant>
      <vt:variant>
        <vt:i4>38</vt:i4>
      </vt:variant>
      <vt:variant>
        <vt:i4>0</vt:i4>
      </vt:variant>
      <vt:variant>
        <vt:i4>5</vt:i4>
      </vt:variant>
      <vt:variant>
        <vt:lpwstr/>
      </vt:variant>
      <vt:variant>
        <vt:lpwstr>_Toc71108059</vt:lpwstr>
      </vt:variant>
      <vt:variant>
        <vt:i4>1966139</vt:i4>
      </vt:variant>
      <vt:variant>
        <vt:i4>32</vt:i4>
      </vt:variant>
      <vt:variant>
        <vt:i4>0</vt:i4>
      </vt:variant>
      <vt:variant>
        <vt:i4>5</vt:i4>
      </vt:variant>
      <vt:variant>
        <vt:lpwstr/>
      </vt:variant>
      <vt:variant>
        <vt:lpwstr>_Toc71108058</vt:lpwstr>
      </vt:variant>
      <vt:variant>
        <vt:i4>1245243</vt:i4>
      </vt:variant>
      <vt:variant>
        <vt:i4>26</vt:i4>
      </vt:variant>
      <vt:variant>
        <vt:i4>0</vt:i4>
      </vt:variant>
      <vt:variant>
        <vt:i4>5</vt:i4>
      </vt:variant>
      <vt:variant>
        <vt:lpwstr/>
      </vt:variant>
      <vt:variant>
        <vt:lpwstr>_Toc71108055</vt:lpwstr>
      </vt:variant>
      <vt:variant>
        <vt:i4>1507387</vt:i4>
      </vt:variant>
      <vt:variant>
        <vt:i4>20</vt:i4>
      </vt:variant>
      <vt:variant>
        <vt:i4>0</vt:i4>
      </vt:variant>
      <vt:variant>
        <vt:i4>5</vt:i4>
      </vt:variant>
      <vt:variant>
        <vt:lpwstr/>
      </vt:variant>
      <vt:variant>
        <vt:lpwstr>_Toc71108051</vt:lpwstr>
      </vt:variant>
      <vt:variant>
        <vt:i4>1441851</vt:i4>
      </vt:variant>
      <vt:variant>
        <vt:i4>14</vt:i4>
      </vt:variant>
      <vt:variant>
        <vt:i4>0</vt:i4>
      </vt:variant>
      <vt:variant>
        <vt:i4>5</vt:i4>
      </vt:variant>
      <vt:variant>
        <vt:lpwstr/>
      </vt:variant>
      <vt:variant>
        <vt:lpwstr>_Toc71108050</vt:lpwstr>
      </vt:variant>
      <vt:variant>
        <vt:i4>2031674</vt:i4>
      </vt:variant>
      <vt:variant>
        <vt:i4>8</vt:i4>
      </vt:variant>
      <vt:variant>
        <vt:i4>0</vt:i4>
      </vt:variant>
      <vt:variant>
        <vt:i4>5</vt:i4>
      </vt:variant>
      <vt:variant>
        <vt:lpwstr/>
      </vt:variant>
      <vt:variant>
        <vt:lpwstr>_Toc71108049</vt:lpwstr>
      </vt:variant>
      <vt:variant>
        <vt:i4>1966138</vt:i4>
      </vt:variant>
      <vt:variant>
        <vt:i4>2</vt:i4>
      </vt:variant>
      <vt:variant>
        <vt:i4>0</vt:i4>
      </vt:variant>
      <vt:variant>
        <vt:i4>5</vt:i4>
      </vt:variant>
      <vt:variant>
        <vt:lpwstr/>
      </vt:variant>
      <vt:variant>
        <vt:lpwstr>_Toc71108048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las FinanzAs públicas</dc:title>
  <dc:subject>Primer Trimestre</dc:subject>
  <dc:creator>DAPF</dc:creator>
  <cp:keywords/>
  <dc:description/>
  <cp:lastModifiedBy>Carlos Herrera</cp:lastModifiedBy>
  <cp:revision>5</cp:revision>
  <cp:lastPrinted>2023-05-11T21:20:00Z</cp:lastPrinted>
  <dcterms:created xsi:type="dcterms:W3CDTF">2023-05-11T21:14:00Z</dcterms:created>
  <dcterms:modified xsi:type="dcterms:W3CDTF">2023-05-11T21:21:00Z</dcterms:modified>
  <cp:category>Ministerio de Finanzas Públicas</cp:category>
</cp:coreProperties>
</file>